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hain-20260324.htm"/>
      <w:bookmarkStart w:id="1" w:name="kshain2026032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THE HAIN CELESTIAL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0-22818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22-3240619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 River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Hoboken, New Jersey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07030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(516)</w:t>
            </w:r>
            <w:r>
              <w:rPr>
                <w:rFonts w:ascii="Times New Roman" w:hAnsi="Times New Roman"/>
                <w:color w:val="000000"/>
                <w:sz w:val="20"/>
              </w:rPr>
              <w:t xml:space="preserve"> </w:t>
            </w:r>
            <w:r>
              <w:rPr>
                <w:rFonts w:ascii="Times New Roman" w:hAnsi="Times New Roman"/>
                <w:b/>
                <w:color w:val="000000"/>
                <w:sz w:val="20"/>
              </w:rPr>
              <w:t>587-5000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jc w:val="both"/>
        <w:rPr>
          <w:rFonts w:ascii="Times New Roman" w:hAnsi="Times New Roman"/>
          <w:color w:val="000000"/>
          <w:sz w:val="20"/>
        </w:rPr>
      </w:pPr>
      <w:r>
        <w:rPr>
          <w:rFonts w:ascii="Times New Roman" w:hAnsi="Times New Roman"/>
          <w:color w:val="000000"/>
          <w:sz w:val="20"/>
        </w:rPr>
        <w:br/>
        <w:t>On March 24, 2026, The Hain Celestial Group, Inc., a Delaware corporation (the “Company”), received a letter from the Listing Qualifications Staff (the “Nasdaq Staff”) of The Nasdaq Stock Market LLC (“Nasdaq”) informing the Company that its common stock, par value $.01 per share (the “Common Stock”), failed to comply with the minimum bid price required for continued listing on The Nasdaq Global Select Market under Nasdaq Listing Rule 5450(a)(1) based upon the bid price of the Common Stock closing below $1.00 for 30 consecutive business days.</w:t>
      </w:r>
    </w:p>
    <w:p>
      <w:pPr>
        <w:pStyle w:val="TextBody"/>
        <w:bidi w:val="0"/>
        <w:jc w:val="both"/>
        <w:rPr>
          <w:rFonts w:ascii="Times New Roman" w:hAnsi="Times New Roman"/>
          <w:color w:val="000000"/>
          <w:sz w:val="20"/>
        </w:rPr>
      </w:pPr>
      <w:r>
        <w:rPr>
          <w:rFonts w:ascii="Times New Roman" w:hAnsi="Times New Roman"/>
          <w:color w:val="000000"/>
          <w:sz w:val="20"/>
        </w:rPr>
        <w:br/>
        <w:t>The notice from the Nasdaq Staff has no immediate effect on the listing of the Common Stock on The Nasdaq Global Select Market, and the Company’s Common Stock continues to trade on the Nasdaq Global Select Market under the symbol “HAIN.” Pursuant to Nasdaq Listing Rule 5810(c)(3)(A), the Company has been provided an initial compliance period of 180 calendar days, or until September 21, 2026 (the “Compliance Date”), to regain compliance with the minimum bid price requirement. To regain compliance, the closing bid price of the Common Stock must meet or exceed $1.00 per share for a minimum of ten consecutive business days prior to the Compliance Date.</w:t>
      </w:r>
    </w:p>
    <w:p>
      <w:pPr>
        <w:pStyle w:val="TextBody"/>
        <w:bidi w:val="0"/>
        <w:jc w:val="both"/>
        <w:rPr>
          <w:rFonts w:ascii="Times New Roman" w:hAnsi="Times New Roman"/>
          <w:color w:val="000000"/>
          <w:sz w:val="20"/>
        </w:rPr>
      </w:pPr>
      <w:r>
        <w:rPr>
          <w:rFonts w:ascii="Times New Roman" w:hAnsi="Times New Roman"/>
          <w:color w:val="000000"/>
          <w:sz w:val="20"/>
        </w:rPr>
        <w:br/>
        <w:t>If the Company is unable to regain compliance by the Compliance Date, the Company may be eligible for an additional 180 calendar day compliance period to demonstrate compliance with the bid price requirement. To qualify, the Company will be required to meet the continued listing requirement for the market value of publicly held shares and all other initial listing standards for The Nasdaq Global Select Market, with the exception of the bid price requirement, and will need to provide written notice to Nasdaq of its intention to cure the deficiency during the second compliance period by effecting a reverse stock split, if necessary. If the Company does not qualify for the second compliance period or fails to regain compliance during the second 180-day period, Nasdaq will notify the Company of its determination to delist the Common Stock, at which point the Company would have an opportunity to appeal the delisting determination to a hearings panel. If the Company does appeal any delisting determination by Nasdaq to the panel, the Company cannot ensure that any such appeal would be successful.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intends to actively monitor the closing bid price of the Company’s Common Stock and, if necessary, intends to take actions to resolve the deficiency and regain compliance with the bid price requirement, including by effecting a reverse stock split, which the Company currently intends to propose to its stockholders at its 2026 annual meeting of stockholders if the minimum bid price matter is not cured by the Compliance Date. While the Company is exercising diligent efforts to maintain the listing of its Common Stock on Nasdaq, there can be no assurance that the Company will be able to regain or maintain compliance with Nasdaq listing standards.</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b/>
          <w:color w:val="000000"/>
          <w:sz w:val="20"/>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statements regarding the Company’s intentions regarding regaining compliance with the minimum bid price requirements of Nasdaq. Risks and uncertainties that may cause actual results to differ materially from forward-looking statements include our ability to effect a reverse stock split, uncertainty with respect to Nasdaq’s requirements for regaining compliance with its listing standards, and other risks and matters described in the section entitled “Risk Factors” in our most recent Annual Report on Form 10-K and our other filings made from time to time with the Securities and Exchange Commission. We undertake no obligation to update forward-looking statements to reflect actual results or changes in assumptions or circumstances, except as required by applicable law.</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99" w:type="dxa"/>
        <w:jc w:val="left"/>
        <w:tblInd w:w="0" w:type="dxa"/>
        <w:tblLayout w:type="fixed"/>
        <w:tblCellMar>
          <w:top w:w="28" w:type="dxa"/>
          <w:left w:w="28" w:type="dxa"/>
          <w:bottom w:w="28" w:type="dxa"/>
          <w:right w:w="28" w:type="dxa"/>
        </w:tblCellMar>
      </w:tblPr>
      <w:tblGrid>
        <w:gridCol w:w="556"/>
        <w:gridCol w:w="1396"/>
        <w:gridCol w:w="45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THE HAIN CELESTIAL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Lee A. Boyce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Lee A. Boyce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1052</Words>
  <Characters>5766</Characters>
  <CharactersWithSpaces>6813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