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2012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201285"/>
                    </a:xfrm>
                    <a:prstGeom prst="rect">
                      <a:avLst/>
                    </a:prstGeom>
                    <a:noFill/>
                  </pic:spPr>
                </pic:pic>
              </a:graphicData>
            </a:graphic>
          </wp:anchor>
        </w:drawing>
      </w:r>
    </w:p>
    <w:p>
      <w:pPr>
        <w:spacing w:after="0" w:line="1247"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Goldenitsch Wolfgang</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right="540"/>
        <w:spacing w:after="0" w:line="347" w:lineRule="auto"/>
        <w:rPr>
          <w:sz w:val="20"/>
          <w:szCs w:val="20"/>
          <w:color w:val="auto"/>
        </w:rPr>
      </w:pPr>
      <w:r>
        <w:rPr>
          <w:rFonts w:ascii="Times New Roman" w:cs="Times New Roman" w:eastAsia="Times New Roman" w:hAnsi="Times New Roman"/>
          <w:sz w:val="17"/>
          <w:szCs w:val="17"/>
          <w:color w:val="0000FF"/>
        </w:rPr>
        <w:t>C/O THE HAIN CELESTIAL GROUP, INC. 221 RIVER STREET, 12TH FLOOR</w:t>
      </w:r>
    </w:p>
    <w:p>
      <w:pPr>
        <w:spacing w:after="0" w:line="17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HOBOKEN</w:t>
            </w:r>
          </w:p>
        </w:tc>
        <w:tc>
          <w:tcPr>
            <w:tcW w:w="10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NJ</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07030</w:t>
            </w:r>
          </w:p>
        </w:tc>
      </w:tr>
      <w:tr>
        <w:trPr>
          <w:trHeight w:val="151"/>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HAIN CELESTIAL GROUP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HAIN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60" w:type="dxa"/>
            <w:vAlign w:val="bottom"/>
          </w:tcPr>
          <w:p>
            <w:pPr>
              <w:spacing w:after="0"/>
              <w:rPr>
                <w:sz w:val="12"/>
                <w:szCs w:val="12"/>
                <w:color w:val="auto"/>
              </w:rPr>
            </w:pPr>
          </w:p>
        </w:tc>
        <w:tc>
          <w:tcPr>
            <w:tcW w:w="2860" w:type="dxa"/>
            <w:vAlign w:val="bottom"/>
            <w:tcBorders>
              <w:top w:val="single" w:sz="8" w:color="0000EE"/>
            </w:tcBorders>
            <w:gridSpan w:val="2"/>
            <w:vMerge w:val="restart"/>
          </w:tcPr>
          <w:p>
            <w:pPr>
              <w:spacing w:after="0"/>
              <w:rPr>
                <w:sz w:val="20"/>
                <w:szCs w:val="20"/>
                <w:color w:val="auto"/>
              </w:rPr>
            </w:pPr>
            <w:r>
              <w:rPr>
                <w:rFonts w:ascii="Arial" w:cs="Arial" w:eastAsia="Arial" w:hAnsi="Arial"/>
                <w:sz w:val="13"/>
                <w:szCs w:val="13"/>
                <w:color w:val="auto"/>
              </w:rPr>
              <w:t>Foreign Trading Symbol</w:t>
            </w:r>
          </w:p>
        </w:tc>
        <w:tc>
          <w:tcPr>
            <w:tcW w:w="90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tcPr>
          <w:p>
            <w:pPr>
              <w:ind w:left="400"/>
              <w:spacing w:after="0" w:line="143" w:lineRule="exact"/>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line="143"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42"/>
        </w:trPr>
        <w:tc>
          <w:tcPr>
            <w:tcW w:w="60" w:type="dxa"/>
            <w:vAlign w:val="bottom"/>
          </w:tcPr>
          <w:p>
            <w:pPr>
              <w:spacing w:after="0"/>
              <w:rPr>
                <w:sz w:val="3"/>
                <w:szCs w:val="3"/>
                <w:color w:val="auto"/>
              </w:rPr>
            </w:pPr>
          </w:p>
        </w:tc>
        <w:tc>
          <w:tcPr>
            <w:tcW w:w="2860" w:type="dxa"/>
            <w:vAlign w:val="bottom"/>
            <w:gridSpan w:val="2"/>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4"/>
        </w:trPr>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7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72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110" w:lineRule="exact"/>
              <w:rPr>
                <w:sz w:val="20"/>
                <w:szCs w:val="20"/>
                <w:color w:val="auto"/>
              </w:rPr>
            </w:pPr>
            <w:r>
              <w:rPr>
                <w:rFonts w:ascii="Arial" w:cs="Arial" w:eastAsia="Arial" w:hAnsi="Arial"/>
                <w:sz w:val="12"/>
                <w:szCs w:val="12"/>
                <w:color w:val="auto"/>
              </w:rPr>
              <w:t>below)</w:t>
            </w:r>
          </w:p>
        </w:tc>
        <w:tc>
          <w:tcPr>
            <w:tcW w:w="1440" w:type="dxa"/>
            <w:vAlign w:val="bottom"/>
          </w:tcPr>
          <w:p>
            <w:pPr>
              <w:ind w:left="320"/>
              <w:spacing w:after="0" w:line="110" w:lineRule="exact"/>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221"/>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9"/>
                <w:szCs w:val="19"/>
                <w:color w:val="auto"/>
              </w:rPr>
            </w:pPr>
          </w:p>
        </w:tc>
        <w:tc>
          <w:tcPr>
            <w:tcW w:w="310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0000FF"/>
              </w:rPr>
              <w:t>President, International</w:t>
            </w:r>
          </w:p>
        </w:tc>
        <w:tc>
          <w:tcPr>
            <w:tcW w:w="0" w:type="dxa"/>
            <w:vAlign w:val="bottom"/>
          </w:tcPr>
          <w:p>
            <w:pPr>
              <w:spacing w:after="0"/>
              <w:rPr>
                <w:sz w:val="1"/>
                <w:szCs w:val="1"/>
                <w:color w:val="auto"/>
              </w:rPr>
            </w:pPr>
          </w:p>
        </w:tc>
      </w:tr>
      <w:tr>
        <w:trPr>
          <w:trHeight w:val="219"/>
        </w:trPr>
        <w:tc>
          <w:tcPr>
            <w:tcW w:w="29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10/25/2026</w:t>
            </w: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60" w:type="dxa"/>
            <w:vAlign w:val="bottom"/>
            <w:tcBorders>
              <w:bottom w:val="single" w:sz="8" w:color="2C2C2C"/>
            </w:tcBorders>
          </w:tcPr>
          <w:p>
            <w:pPr>
              <w:spacing w:after="0"/>
              <w:rPr>
                <w:sz w:val="16"/>
                <w:szCs w:val="16"/>
                <w:color w:val="auto"/>
              </w:rPr>
            </w:pPr>
          </w:p>
        </w:tc>
        <w:tc>
          <w:tcPr>
            <w:tcW w:w="140" w:type="dxa"/>
            <w:vAlign w:val="bottom"/>
            <w:tcBorders>
              <w:bottom w:val="single" w:sz="8" w:color="2C2C2C"/>
            </w:tcBorders>
          </w:tcPr>
          <w:p>
            <w:pPr>
              <w:spacing w:after="0"/>
              <w:rPr>
                <w:sz w:val="16"/>
                <w:szCs w:val="16"/>
                <w:color w:val="auto"/>
              </w:rPr>
            </w:pPr>
          </w:p>
        </w:tc>
        <w:tc>
          <w:tcPr>
            <w:tcW w:w="2720" w:type="dxa"/>
            <w:vAlign w:val="bottom"/>
            <w:tcBorders>
              <w:bottom w:val="single" w:sz="8" w:color="2C2C2C"/>
            </w:tcBorders>
          </w:tcPr>
          <w:p>
            <w:pPr>
              <w:spacing w:after="0"/>
              <w:rPr>
                <w:sz w:val="16"/>
                <w:szCs w:val="16"/>
                <w:color w:val="auto"/>
              </w:rPr>
            </w:pPr>
          </w:p>
        </w:tc>
        <w:tc>
          <w:tcPr>
            <w:tcW w:w="900" w:type="dxa"/>
            <w:vAlign w:val="bottom"/>
            <w:tcBorders>
              <w:bottom w:val="single" w:sz="8" w:color="2C2C2C"/>
            </w:tcBorders>
          </w:tcPr>
          <w:p>
            <w:pPr>
              <w:spacing w:after="0"/>
              <w:rPr>
                <w:sz w:val="16"/>
                <w:szCs w:val="16"/>
                <w:color w:val="auto"/>
              </w:rPr>
            </w:pPr>
          </w:p>
        </w:tc>
        <w:tc>
          <w:tcPr>
            <w:tcW w:w="200" w:type="dxa"/>
            <w:vAlign w:val="bottom"/>
            <w:tcBorders>
              <w:bottom w:val="single" w:sz="8" w:color="2C2C2C"/>
            </w:tcBorders>
          </w:tcPr>
          <w:p>
            <w:pPr>
              <w:spacing w:after="0"/>
              <w:rPr>
                <w:sz w:val="16"/>
                <w:szCs w:val="16"/>
                <w:color w:val="auto"/>
              </w:rPr>
            </w:pPr>
          </w:p>
        </w:tc>
        <w:tc>
          <w:tcPr>
            <w:tcW w:w="3100" w:type="dxa"/>
            <w:vAlign w:val="bottom"/>
            <w:tcBorders>
              <w:bottom w:val="single" w:sz="8" w:color="2C2C2C"/>
            </w:tcBorders>
            <w:gridSpan w:val="2"/>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97" w:lineRule="exact"/>
        <w:rPr>
          <w:sz w:val="24"/>
          <w:szCs w:val="24"/>
          <w:color w:val="auto"/>
        </w:rPr>
      </w:pPr>
    </w:p>
    <w:p>
      <w:pPr>
        <w:sectPr>
          <w:pgSz w:w="11900" w:h="16838" w:orient="portrait"/>
          <w:cols w:equalWidth="0" w:num="2">
            <w:col w:w="3740" w:space="10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4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17"/>
                <w:szCs w:val="17"/>
                <w:color w:val="0000FF"/>
              </w:rPr>
              <w:t>10/25/2026</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23"/>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9"/>
              </w:rPr>
              <w:t>9,709</w:t>
            </w:r>
          </w:p>
        </w:tc>
        <w:tc>
          <w:tcPr>
            <w:tcW w:w="6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right"/>
              <w:ind w:right="16"/>
              <w:spacing w:after="0"/>
              <w:rPr>
                <w:sz w:val="20"/>
                <w:szCs w:val="20"/>
                <w:color w:val="auto"/>
              </w:rPr>
            </w:pPr>
            <w:r>
              <w:rPr>
                <w:rFonts w:ascii="Times New Roman" w:cs="Times New Roman" w:eastAsia="Times New Roman" w:hAnsi="Times New Roman"/>
                <w:sz w:val="11"/>
                <w:szCs w:val="11"/>
                <w:color w:val="008000"/>
              </w:rPr>
              <w:t>(2)</w:t>
            </w: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82,474</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17"/>
                <w:szCs w:val="17"/>
                <w:color w:val="0000FF"/>
              </w:rPr>
              <w:t>10/25/2026</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23"/>
              <w:spacing w:after="0"/>
              <w:rPr>
                <w:sz w:val="20"/>
                <w:szCs w:val="20"/>
                <w:color w:val="auto"/>
              </w:rPr>
            </w:pPr>
            <w:r>
              <w:rPr>
                <w:rFonts w:ascii="Times New Roman" w:cs="Times New Roman" w:eastAsia="Times New Roman" w:hAnsi="Times New Roman"/>
                <w:sz w:val="25"/>
                <w:szCs w:val="25"/>
                <w:color w:val="0000FF"/>
                <w:w w:val="90"/>
                <w:vertAlign w:val="subscript"/>
              </w:rPr>
              <w:t>F</w:t>
            </w:r>
            <w:r>
              <w:rPr>
                <w:rFonts w:ascii="Times New Roman" w:cs="Times New Roman" w:eastAsia="Times New Roman" w:hAnsi="Times New Roman"/>
                <w:sz w:val="11"/>
                <w:szCs w:val="11"/>
                <w:color w:val="008000"/>
                <w:w w:val="90"/>
              </w:rPr>
              <w:t>(3)</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9"/>
              </w:rPr>
              <w:t>4,855</w:t>
            </w:r>
          </w:p>
        </w:tc>
        <w:tc>
          <w:tcPr>
            <w:tcW w:w="6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0.15</w:t>
            </w:r>
          </w:p>
        </w:tc>
        <w:tc>
          <w:tcPr>
            <w:tcW w:w="130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77,619</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gridSpan w:val="2"/>
            <w:vMerge w:val="restart"/>
          </w:tcPr>
          <w:p>
            <w:pPr>
              <w:jc w:val="center"/>
              <w:ind w:right="23"/>
              <w:spacing w:after="0"/>
              <w:rPr>
                <w:sz w:val="20"/>
                <w:szCs w:val="20"/>
                <w:color w:val="auto"/>
              </w:rPr>
            </w:pPr>
            <w:r>
              <w:rPr>
                <w:rFonts w:ascii="Times New Roman" w:cs="Times New Roman" w:eastAsia="Times New Roman" w:hAnsi="Times New Roman"/>
                <w:sz w:val="11"/>
                <w:szCs w:val="11"/>
                <w:color w:val="008000"/>
                <w:w w:val="93"/>
              </w:rPr>
              <w:t>(4)</w:t>
            </w:r>
          </w:p>
        </w:tc>
        <w:tc>
          <w:tcPr>
            <w:tcW w:w="220" w:type="dxa"/>
            <w:vAlign w:val="bottom"/>
          </w:tcPr>
          <w:p>
            <w:pPr>
              <w:spacing w:after="0"/>
              <w:rPr>
                <w:sz w:val="15"/>
                <w:szCs w:val="15"/>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(4)</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36"/>
              <w:spacing w:after="0"/>
              <w:rPr>
                <w:sz w:val="20"/>
                <w:szCs w:val="20"/>
                <w:color w:val="auto"/>
              </w:rPr>
            </w:pPr>
            <w:r>
              <w:rPr>
                <w:rFonts w:ascii="Times New Roman" w:cs="Times New Roman" w:eastAsia="Times New Roman" w:hAnsi="Times New Roman"/>
                <w:sz w:val="17"/>
                <w:szCs w:val="17"/>
                <w:color w:val="0000FF"/>
              </w:rPr>
              <w:t>9,709</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Share</w:t>
            </w:r>
          </w:p>
        </w:tc>
        <w:tc>
          <w:tcPr>
            <w:tcW w:w="780" w:type="dxa"/>
            <w:vAlign w:val="bottom"/>
            <w:vMerge w:val="continue"/>
          </w:tcPr>
          <w:p>
            <w:pPr>
              <w:spacing w:after="0"/>
              <w:rPr>
                <w:sz w:val="5"/>
                <w:szCs w:val="5"/>
                <w:color w:val="auto"/>
              </w:rPr>
            </w:pPr>
          </w:p>
        </w:tc>
        <w:tc>
          <w:tcPr>
            <w:tcW w:w="1080" w:type="dxa"/>
            <w:vAlign w:val="bottom"/>
            <w:vMerge w:val="restart"/>
          </w:tcPr>
          <w:p>
            <w:pPr>
              <w:ind w:left="240"/>
              <w:spacing w:after="0" w:line="143" w:lineRule="exact"/>
              <w:rPr>
                <w:sz w:val="20"/>
                <w:szCs w:val="20"/>
                <w:color w:val="auto"/>
              </w:rPr>
            </w:pPr>
            <w:r>
              <w:rPr>
                <w:rFonts w:ascii="Times New Roman" w:cs="Times New Roman" w:eastAsia="Times New Roman" w:hAnsi="Times New Roman"/>
                <w:sz w:val="13"/>
                <w:szCs w:val="13"/>
                <w:color w:val="0000FF"/>
              </w:rPr>
              <w:t>10/25/2026</w:t>
            </w:r>
          </w:p>
        </w:tc>
        <w:tc>
          <w:tcPr>
            <w:tcW w:w="1100" w:type="dxa"/>
            <w:vAlign w:val="bottom"/>
          </w:tcPr>
          <w:p>
            <w:pPr>
              <w:spacing w:after="0"/>
              <w:rPr>
                <w:sz w:val="5"/>
                <w:szCs w:val="5"/>
                <w:color w:val="auto"/>
              </w:rPr>
            </w:pPr>
          </w:p>
        </w:tc>
        <w:tc>
          <w:tcPr>
            <w:tcW w:w="64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5"/>
                <w:szCs w:val="5"/>
                <w:color w:val="auto"/>
              </w:rPr>
            </w:pPr>
          </w:p>
        </w:tc>
        <w:tc>
          <w:tcPr>
            <w:tcW w:w="80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9,709</w:t>
            </w:r>
          </w:p>
        </w:tc>
        <w:tc>
          <w:tcPr>
            <w:tcW w:w="7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right="36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October 25, 2026, the Reporting Person had 9,709 restricted share units ("RSUs") vest, resulting in the Reporting Person receiving 9,709 shares of common stock of the Issuer prior to withholding for taxes.</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represented a contingent right to receive shares of the Issuer's common stock upon vesting.</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Issuer withheld 4,855 shares of common stock to satisfy the tax withholding obligations in connection with the vesting of 9,709 RSUs, pursuant to the terms of the applicable award agreement.</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Of the 29,127 RSUs under this award, 9,709 RSUs vested on each of October 25, 2024, October 25, 2025 and October 25, 2026.</w:t>
      </w:r>
    </w:p>
    <w:p>
      <w:pPr>
        <w:spacing w:after="0" w:line="72"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Andrew S. Burchill,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-8255</wp:posOffset>
            </wp:positionV>
            <wp:extent cx="11087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08710" cy="8255"/>
                    </a:xfrm>
                    <a:prstGeom prst="rect">
                      <a:avLst/>
                    </a:prstGeom>
                    <a:noFill/>
                  </pic:spPr>
                </pic:pic>
              </a:graphicData>
            </a:graphic>
          </wp:anchor>
        </w:drawing>
      </w:r>
    </w:p>
    <w:p>
      <w:pPr>
        <w:spacing w:after="0" w:line="3"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Attorney-in-Fact for Wolfgang  10/27/2026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-14605</wp:posOffset>
            </wp:positionV>
            <wp:extent cx="18840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8404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Goldenitsch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-14605</wp:posOffset>
            </wp:positionV>
            <wp:extent cx="5187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18795" cy="8255"/>
                    </a:xfrm>
                    <a:prstGeom prst="rect">
                      <a:avLst/>
                    </a:prstGeom>
                    <a:noFill/>
                  </pic:spPr>
                </pic:pic>
              </a:graphicData>
            </a:graphic>
          </wp:anchor>
        </w:drawing>
      </w:r>
    </w:p>
    <w:p>
      <w:pPr>
        <w:spacing w:after="0" w:line="3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03396" TargetMode="External"/><Relationship Id="rId14" Type="http://schemas.openxmlformats.org/officeDocument/2006/relationships/hyperlink" Target="http://www.sec.gov/cgi-bin/browse-edgar?action=getcompany&amp;CIK=000091040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2026-10-27T17:33:16Z</dcterms:created>
  <dcterms:modified xsi:type="dcterms:W3CDTF">2026-10-27T17:33:16Z</dcterms:modified>
</cp:coreProperties>
</file>