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92710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6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Commission File No. 0-22818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1028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060" w:type="dxa"/>
        <w:tblCellMar>
          <w:top w:w="0" w:type="dxa"/>
          <w:left w:w="0" w:type="dxa"/>
          <w:bottom w:w="0" w:type="dxa"/>
          <w:right w:w="0" w:type="dxa"/>
        </w:tblCellMar>
      </w:tblPr>
      <w:tr>
        <w:trPr>
          <w:trHeight w:val="360"/>
        </w:trPr>
        <w:tc>
          <w:tcPr>
            <w:tcW w:w="1760" w:type="dxa"/>
            <w:vAlign w:val="bottom"/>
          </w:tcPr>
          <w:p>
            <w:pPr>
              <w:spacing w:after="0"/>
              <w:rPr>
                <w:sz w:val="24"/>
                <w:szCs w:val="24"/>
                <w:color w:val="auto"/>
              </w:rPr>
            </w:pPr>
          </w:p>
        </w:tc>
        <w:tc>
          <w:tcPr>
            <w:tcW w:w="7660" w:type="dxa"/>
            <w:vAlign w:val="bottom"/>
            <w:gridSpan w:val="3"/>
          </w:tcPr>
          <w:p>
            <w:pPr>
              <w:ind w:left="260"/>
              <w:spacing w:after="0"/>
              <w:rPr>
                <w:sz w:val="20"/>
                <w:szCs w:val="20"/>
                <w:color w:val="auto"/>
              </w:rPr>
            </w:pPr>
            <w:r>
              <w:rPr>
                <w:rFonts w:ascii="Times New Roman" w:cs="Times New Roman" w:eastAsia="Times New Roman" w:hAnsi="Times New Roman"/>
                <w:sz w:val="29"/>
                <w:szCs w:val="29"/>
                <w:b w:val="1"/>
                <w:bCs w:val="1"/>
                <w:color w:val="auto"/>
              </w:rPr>
              <w:t>THE HAIN CELESTIAL GROUP, INC.</w:t>
            </w:r>
          </w:p>
        </w:tc>
      </w:tr>
      <w:tr>
        <w:trPr>
          <w:trHeight w:val="212"/>
        </w:trPr>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740" w:type="dxa"/>
            <w:vAlign w:val="bottom"/>
            <w:gridSpan w:val="2"/>
          </w:tcPr>
          <w:p>
            <w:pPr>
              <w:jc w:val="center"/>
              <w:ind w:right="288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00"/>
        </w:trPr>
        <w:tc>
          <w:tcPr>
            <w:tcW w:w="1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254"/>
        </w:trPr>
        <w:tc>
          <w:tcPr>
            <w:tcW w:w="17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660" w:type="dxa"/>
            <w:vAlign w:val="bottom"/>
            <w:gridSpan w:val="3"/>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22-3240619</w:t>
            </w:r>
          </w:p>
        </w:tc>
      </w:tr>
      <w:tr>
        <w:trPr>
          <w:trHeight w:val="148"/>
        </w:trPr>
        <w:tc>
          <w:tcPr>
            <w:tcW w:w="176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1760" w:type="dxa"/>
            <w:vAlign w:val="bottom"/>
          </w:tcPr>
          <w:p>
            <w:pPr>
              <w:jc w:val="center"/>
              <w:ind w:right="185"/>
              <w:spacing w:after="0"/>
              <w:rPr>
                <w:sz w:val="20"/>
                <w:szCs w:val="20"/>
                <w:color w:val="auto"/>
              </w:rPr>
            </w:pPr>
            <w:r>
              <w:rPr>
                <w:rFonts w:ascii="Times New Roman" w:cs="Times New Roman" w:eastAsia="Times New Roman" w:hAnsi="Times New Roman"/>
                <w:sz w:val="14"/>
                <w:szCs w:val="14"/>
                <w:color w:val="auto"/>
              </w:rPr>
              <w:t>of incorporation)</w:t>
            </w:r>
          </w:p>
        </w:tc>
        <w:tc>
          <w:tcPr>
            <w:tcW w:w="9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44"/>
        </w:trPr>
        <w:tc>
          <w:tcPr>
            <w:tcW w:w="1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740" w:type="dxa"/>
            <w:vAlign w:val="bottom"/>
            <w:gridSpan w:val="2"/>
          </w:tcPr>
          <w:p>
            <w:pPr>
              <w:jc w:val="center"/>
              <w:ind w:right="2948"/>
              <w:spacing w:after="0"/>
              <w:rPr>
                <w:sz w:val="20"/>
                <w:szCs w:val="20"/>
                <w:color w:val="auto"/>
              </w:rPr>
            </w:pPr>
            <w:r>
              <w:rPr>
                <w:rFonts w:ascii="Times New Roman" w:cs="Times New Roman" w:eastAsia="Times New Roman" w:hAnsi="Times New Roman"/>
                <w:sz w:val="16"/>
                <w:szCs w:val="16"/>
                <w:b w:val="1"/>
                <w:bCs w:val="1"/>
                <w:color w:val="auto"/>
              </w:rPr>
              <w:t>221 River Street, Hoboken, NJ 07030</w:t>
            </w:r>
          </w:p>
        </w:tc>
      </w:tr>
      <w:tr>
        <w:trPr>
          <w:trHeight w:val="188"/>
        </w:trPr>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740" w:type="dxa"/>
            <w:vAlign w:val="bottom"/>
            <w:gridSpan w:val="2"/>
          </w:tcPr>
          <w:p>
            <w:pPr>
              <w:jc w:val="center"/>
              <w:ind w:right="2888"/>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60"/>
        </w:trPr>
        <w:tc>
          <w:tcPr>
            <w:tcW w:w="1760" w:type="dxa"/>
            <w:vAlign w:val="bottom"/>
          </w:tcPr>
          <w:p>
            <w:pPr>
              <w:spacing w:after="0"/>
              <w:rPr>
                <w:sz w:val="22"/>
                <w:szCs w:val="22"/>
                <w:color w:val="auto"/>
              </w:rPr>
            </w:pPr>
          </w:p>
        </w:tc>
        <w:tc>
          <w:tcPr>
            <w:tcW w:w="7660" w:type="dxa"/>
            <w:vAlign w:val="bottom"/>
            <w:gridSpan w:val="3"/>
          </w:tcPr>
          <w:p>
            <w:pPr>
              <w:jc w:val="center"/>
              <w:ind w:right="202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(516) 587-5000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225" w:right="339" w:bottom="1440" w:gutter="0" w:footer="0" w:header="0"/>
        </w:sectPr>
      </w:pPr>
    </w:p>
    <w:p>
      <w:pPr>
        <w:spacing w:after="0" w:line="9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1820" w:space="720"/>
            <w:col w:w="3640"/>
          </w:cols>
          <w:pgMar w:left="320" w:top="225"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HAIN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73" w:lineRule="exact"/>
        <w:rPr>
          <w:sz w:val="24"/>
          <w:szCs w:val="24"/>
          <w:color w:val="auto"/>
        </w:rPr>
      </w:pPr>
    </w:p>
    <w:p>
      <w:pPr>
        <w:sectPr>
          <w:pgSz w:w="11900" w:h="16838" w:orient="portrait"/>
          <w:cols w:equalWidth="0" w:num="3">
            <w:col w:w="4700" w:space="720"/>
            <w:col w:w="1780" w:space="720"/>
            <w:col w:w="3320"/>
          </w:cols>
          <w:pgMar w:left="320" w:top="225" w:right="339" w:bottom="1440" w:gutter="0" w:footer="0" w:header="0"/>
          <w:type w:val="continuous"/>
        </w:sect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3060" w:space="720"/>
            <w:col w:w="140" w:space="340"/>
            <w:col w:w="2520" w:space="720"/>
            <w:col w:w="3740"/>
          </w:cols>
          <w:pgMar w:left="320" w:top="225" w:right="339" w:bottom="1440" w:gutter="0" w:footer="0" w:header="0"/>
          <w:type w:val="continuous"/>
        </w:sectPr>
      </w:pPr>
    </w:p>
    <w:p>
      <w:pPr>
        <w:jc w:val="center"/>
        <w:ind w:left="9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3">
            <w:col w:w="6780" w:space="720"/>
            <w:col w:w="2780" w:space="720"/>
            <w:col w:w="240"/>
          </w:cols>
          <w:pgMar w:left="320" w:top="225"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3, 2025, there were 90,567,218 shares outstanding of the registrant’s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gridSpan w:val="10"/>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THE HAIN CELESTIAL GROUP, INC.</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4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40" w:type="dxa"/>
            <w:vAlign w:val="bottom"/>
            <w:gridSpan w:val="9"/>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0" w:type="dxa"/>
            <w:vAlign w:val="bottom"/>
          </w:tcPr>
          <w:p>
            <w:pPr>
              <w:spacing w:after="0"/>
              <w:rPr>
                <w:sz w:val="24"/>
                <w:szCs w:val="24"/>
                <w:color w:val="auto"/>
              </w:rPr>
            </w:pP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 September 30, 2025 and June 30, 2025</w:t>
            </w:r>
          </w:p>
        </w:tc>
        <w:tc>
          <w:tcPr>
            <w:tcW w:w="3740" w:type="dxa"/>
            <w:vAlign w:val="bottom"/>
            <w:gridSpan w:val="6"/>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 Three months ended September 30, 2025 and 2024</w:t>
            </w: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 Three months ended September 30, 2025 and 2024</w:t>
            </w:r>
          </w:p>
        </w:tc>
        <w:tc>
          <w:tcPr>
            <w:tcW w:w="7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Stockholders’ Equity - Three months ended September 30, 2025 and 2024</w:t>
            </w: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 Three months ended September 30, 2025 and 2024</w:t>
            </w:r>
          </w:p>
        </w:tc>
        <w:tc>
          <w:tcPr>
            <w:tcW w:w="1500" w:type="dxa"/>
            <w:vAlign w:val="bottom"/>
            <w:gridSpan w:val="2"/>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20" w:type="dxa"/>
            <w:vAlign w:val="bottom"/>
            <w:gridSpan w:val="3"/>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32</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340" w:type="dxa"/>
            <w:vAlign w:val="bottom"/>
            <w:gridSpan w:val="5"/>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44</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44</w:t>
            </w:r>
          </w:p>
        </w:tc>
      </w:tr>
      <w:tr>
        <w:trPr>
          <w:trHeight w:val="45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564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14"/>
        </w:trPr>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Items 3 and 4 are not applicable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460" w:type="dxa"/>
            <w:vAlign w:val="bottom"/>
            <w:gridSpan w:val="12"/>
          </w:tcPr>
          <w:p>
            <w:pPr>
              <w:spacing w:after="0"/>
              <w:rPr>
                <w:sz w:val="16"/>
                <w:szCs w:val="16"/>
                <w:color w:val="auto"/>
              </w:rPr>
            </w:pPr>
          </w:p>
        </w:tc>
        <w:tc>
          <w:tcPr>
            <w:tcW w:w="900" w:type="dxa"/>
            <w:vAlign w:val="bottom"/>
            <w:gridSpan w:val="2"/>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46</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5"/>
          </w:tcPr>
          <w:p>
            <w:pPr>
              <w:spacing w:after="0"/>
              <w:rPr>
                <w:sz w:val="17"/>
                <w:szCs w:val="17"/>
                <w:color w:val="auto"/>
              </w:rPr>
            </w:pPr>
          </w:p>
        </w:tc>
        <w:tc>
          <w:tcPr>
            <w:tcW w:w="4460" w:type="dxa"/>
            <w:vAlign w:val="bottom"/>
            <w:gridSpan w:val="8"/>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8200" w:type="dxa"/>
            <w:vAlign w:val="bottom"/>
            <w:gridSpan w:val="15"/>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47</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49</w:t>
            </w:r>
          </w:p>
        </w:tc>
      </w:tr>
      <w:tr>
        <w:trPr>
          <w:trHeight w:val="750"/>
        </w:trPr>
        <w:tc>
          <w:tcPr>
            <w:tcW w:w="7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8"/>
          </w:tcPr>
          <w:p>
            <w:pPr>
              <w:jc w:val="center"/>
              <w:ind w:left="40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1"/>
        </w:trPr>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the quarter ended September 30, 2025 (the “Form 10-Q”)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the results of The Hain Celestial Group, Inc. (collectively with its subsidiaries, the “Company,” “Hain Celestial,” “we,” “us” or “our”)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our strategic initiatives and business strategy, including statements related to our personal care business; our supply chain, including the impact of tariffs and the availability and pricing of raw materials; our brand portfolio; pricing actions and product performance; inflation rates; and current or future macroeconomic trends.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challenges and uncertainty resulting from the impact of competition; changes to consumer preferences; our ability to execute our business strategy;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compliance with our credit agreement and our ability to refinance our indebtedness;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 baby food products; potential liability if our products cause illness or physical harm; the highly regulated environment in which we operate; our ability to manage our financial reporting and internal control systems and processes; compliance with data privacy laws; the adequacy of our insurance coverage; climate impacts; liabilities, claims or regulatory change with respect to environmental matters; and other risks and matters described in our most recent Annual Report on Form 10-K, this Form 10-Q and other reports that we file in the future.</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2025 AND JUNE 30, 2025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par values)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47,886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54,355</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$1,298 and $1,337,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170,731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154,440</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229,498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248,731</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43,169</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28,773</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29,603</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523,019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530,298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255,992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264,730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498,159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500,961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other intangible assets,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207,321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71,171</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28,415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25,213</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1,582,899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1,603,278</w:t>
            </w: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80" w:type="dxa"/>
            <w:vAlign w:val="bottom"/>
            <w:shd w:val="clear" w:color="auto" w:fill="CCEEFF"/>
          </w:tcPr>
          <w:p>
            <w:pPr>
              <w:ind w:left="1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175,667</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188,307</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68,426</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7,653</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12,202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12,987</w:t>
            </w:r>
          </w:p>
        </w:tc>
      </w:tr>
      <w:tr>
        <w:trPr>
          <w:trHeight w:val="21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708,563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697,168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41,404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40,332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65,284</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47,308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48,116</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1,137,910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1,128,273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 $.01 par value, authorized 5,000 shares; issued and outstanding: none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$.01 par value, authorized 150,000 shares; issued: 112,584 and 112,491 shares,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outstanding: 90,344 and 90,284 shares,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1,240,405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1,238,402</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46,678</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(81,053)</w:t>
            </w:r>
          </w:p>
        </w:tc>
      </w:tr>
      <w:tr>
        <w:trPr>
          <w:trHeight w:val="210"/>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1,175,206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1,205,152</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Treasury stock, at cost, 22,240 and 22,207 shares, respectively</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(730,217)</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(730,147)</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444,989</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475,005</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1,582,899</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1,603,278</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-4362450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-3531235</wp:posOffset>
            </wp:positionV>
            <wp:extent cx="102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-1842770</wp:posOffset>
            </wp:positionV>
            <wp:extent cx="102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-599440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5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HAIN CELESTIAL GROUP, INC. AND SUBSIDIARIES CONSOLIDATED STATEMENTS OF OPERATIONS (UNAUDITED) FOR THE THREE MONTHS ENDED SEPTEMBER 30, 2025 AND 2024 </w:t>
      </w:r>
      <w:r>
        <w:rPr>
          <w:rFonts w:ascii="Times New Roman" w:cs="Times New Roman" w:eastAsia="Times New Roman" w:hAnsi="Times New Roman"/>
          <w:sz w:val="18"/>
          <w:szCs w:val="18"/>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0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2"/>
        </w:trPr>
        <w:tc>
          <w:tcPr>
            <w:tcW w:w="6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gridSpan w:val="2"/>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367,883</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394,596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299,805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312,986</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81,610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71,328</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13,746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5,292</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in net loss of equity-method investees</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1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0"/>
        </w:trPr>
        <w:tc>
          <w:tcPr>
            <w:tcW w:w="6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66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spacing w:after="0"/>
              <w:rPr>
                <w:sz w:val="17"/>
                <w:szCs w:val="17"/>
                <w:color w:val="auto"/>
              </w:rPr>
            </w:pPr>
          </w:p>
        </w:tc>
        <w:tc>
          <w:tcPr>
            <w:tcW w:w="960" w:type="dxa"/>
            <w:vAlign w:val="bottom"/>
          </w:tcPr>
          <w:p>
            <w:pPr>
              <w:jc w:val="right"/>
              <w:ind w:right="7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6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-1748155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-908050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-325120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-307975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used in the calculation of net loss per common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90,309</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89,861</w:t>
            </w:r>
          </w:p>
        </w:tc>
      </w:tr>
      <w:tr>
        <w:trPr>
          <w:trHeight w:val="197"/>
        </w:trPr>
        <w:tc>
          <w:tcPr>
            <w:tcW w:w="77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90,309</w:t>
            </w:r>
          </w:p>
        </w:tc>
        <w:tc>
          <w:tcPr>
            <w:tcW w:w="184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89,861</w:t>
            </w:r>
          </w:p>
        </w:tc>
      </w:tr>
      <w:tr>
        <w:trPr>
          <w:trHeight w:val="20"/>
        </w:trPr>
        <w:tc>
          <w:tcPr>
            <w:tcW w:w="77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before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47,815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47,815</w:t>
            </w:r>
          </w:p>
        </w:tc>
        <w:tc>
          <w:tcPr>
            <w:tcW w:w="0" w:type="dxa"/>
            <w:vAlign w:val="bottom"/>
          </w:tcPr>
          <w:p>
            <w:pPr>
              <w:spacing w:after="0"/>
              <w:rPr>
                <w:sz w:val="1"/>
                <w:szCs w:val="1"/>
                <w:color w:val="auto"/>
              </w:rPr>
            </w:pPr>
          </w:p>
        </w:tc>
      </w:tr>
      <w:tr>
        <w:trPr>
          <w:trHeight w:val="198"/>
        </w:trPr>
        <w:tc>
          <w:tcPr>
            <w:tcW w:w="36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losses on cash flow hedging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gains on fair value hedging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8"/>
        </w:trPr>
        <w:tc>
          <w:tcPr>
            <w:tcW w:w="36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gains (losses) on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1"/>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hedging instruments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3,349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37,836</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18,173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7"/>
          </w:tcPr>
          <w:p>
            <w:pPr>
              <w:jc w:val="right"/>
              <w:ind w:right="75"/>
              <w:spacing w:after="0"/>
              <w:rPr>
                <w:sz w:val="20"/>
                <w:szCs w:val="20"/>
                <w:color w:val="auto"/>
              </w:rPr>
            </w:pPr>
            <w:r>
              <w:rPr>
                <w:rFonts w:ascii="Times New Roman" w:cs="Times New Roman" w:eastAsia="Times New Roman" w:hAnsi="Times New Roman"/>
                <w:sz w:val="18"/>
                <w:szCs w:val="18"/>
                <w:i w:val="1"/>
                <w:iCs w:val="1"/>
                <w:color w:val="auto"/>
                <w:w w:val="99"/>
              </w:rPr>
              <w:t>See notes to consolidated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-1148080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-1148080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-1148080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-1148080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-864870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-848360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68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68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2"/>
              <w:spacing w:after="0" w:line="132"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70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78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at $.01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2"/>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June 30, 2025</w:t>
            </w:r>
          </w:p>
        </w:tc>
        <w:tc>
          <w:tcPr>
            <w:tcW w:w="78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112,491</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1,125</w:t>
            </w:r>
          </w:p>
        </w:tc>
        <w:tc>
          <w:tcPr>
            <w:tcW w:w="2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1,238,402</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46,678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22,207</w:t>
            </w:r>
          </w:p>
        </w:tc>
        <w:tc>
          <w:tcPr>
            <w:tcW w:w="24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(730,147)</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(81,053)</w:t>
            </w:r>
          </w:p>
        </w:tc>
        <w:tc>
          <w:tcPr>
            <w:tcW w:w="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475,005</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(20,625)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(20,625)</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(11,325)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(11,325)</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September 30, 2025</w:t>
            </w:r>
          </w:p>
        </w:tc>
        <w:tc>
          <w:tcPr>
            <w:tcW w:w="78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112,584</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1,126</w:t>
            </w:r>
          </w:p>
        </w:tc>
        <w:tc>
          <w:tcPr>
            <w:tcW w:w="2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1,240,405</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26,053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22,240</w:t>
            </w:r>
          </w:p>
        </w:tc>
        <w:tc>
          <w:tcPr>
            <w:tcW w:w="24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(730,217)</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(92,378)</w:t>
            </w:r>
          </w:p>
        </w:tc>
        <w:tc>
          <w:tcPr>
            <w:tcW w:w="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444,989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-25400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68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68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2"/>
              <w:spacing w:after="0" w:line="132"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70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78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at $.01</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2"/>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June 30, 2024</w:t>
            </w:r>
          </w:p>
        </w:tc>
        <w:tc>
          <w:tcPr>
            <w:tcW w:w="78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111,867</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1,119</w:t>
            </w:r>
          </w:p>
        </w:tc>
        <w:tc>
          <w:tcPr>
            <w:tcW w:w="2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1,230,253</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577,519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22,021</w:t>
            </w:r>
          </w:p>
        </w:tc>
        <w:tc>
          <w:tcPr>
            <w:tcW w:w="24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(728,733)</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(137,245)</w:t>
            </w:r>
          </w:p>
        </w:tc>
        <w:tc>
          <w:tcPr>
            <w:tcW w:w="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942,913</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(19,663)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(19,663)</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37,836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37,836</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5"/>
        </w:trPr>
        <w:tc>
          <w:tcPr>
            <w:tcW w:w="3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36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(302)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2,876</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
              <w:spacing w:after="0" w:line="135" w:lineRule="exact"/>
              <w:rPr>
                <w:sz w:val="20"/>
                <w:szCs w:val="20"/>
                <w:color w:val="auto"/>
              </w:rPr>
            </w:pPr>
            <w:r>
              <w:rPr>
                <w:rFonts w:ascii="Times New Roman" w:cs="Times New Roman" w:eastAsia="Times New Roman" w:hAnsi="Times New Roman"/>
                <w:sz w:val="12"/>
                <w:szCs w:val="12"/>
                <w:color w:val="auto"/>
              </w:rPr>
              <w:t>2,876</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September 30, 2024</w:t>
            </w:r>
          </w:p>
        </w:tc>
        <w:tc>
          <w:tcPr>
            <w:tcW w:w="78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111,964</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1,120</w:t>
            </w:r>
          </w:p>
        </w:tc>
        <w:tc>
          <w:tcPr>
            <w:tcW w:w="2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1,233,129</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557,856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22,057</w:t>
            </w:r>
          </w:p>
        </w:tc>
        <w:tc>
          <w:tcPr>
            <w:tcW w:w="24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(729,035)</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(99,409)</w:t>
            </w:r>
          </w:p>
        </w:tc>
        <w:tc>
          <w:tcPr>
            <w:tcW w:w="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963,661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HAIN CELESTIAL GROUP, INC.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 AND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2"/>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11,427</w:t>
            </w:r>
          </w:p>
        </w:tc>
      </w:tr>
      <w:tr>
        <w:trPr>
          <w:trHeight w:val="216"/>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non-cash items, net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attributable to changes in operating assets and liabilities: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16"/>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w:t>
            </w:r>
          </w:p>
        </w:tc>
      </w:tr>
      <w:tr>
        <w:trPr>
          <w:trHeight w:val="210"/>
        </w:trPr>
        <w:tc>
          <w:tcPr>
            <w:tcW w:w="7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12,066</w:t>
            </w:r>
          </w:p>
        </w:tc>
      </w:tr>
      <w:tr>
        <w:trPr>
          <w:trHeight w:val="21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6,309</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bank revolving credit facility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59,000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bank revolving credit facility</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Payments of other debt, net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shares withheld for taxes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10"/>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11,222</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w:t>
            </w: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54,355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54,307</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47,886</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56,853</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-2142490</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-1576705</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-745490</wp:posOffset>
            </wp:positionV>
            <wp:extent cx="111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 except par values and per share data)</w:t>
      </w:r>
    </w:p>
    <w:p>
      <w:pPr>
        <w:spacing w:after="0" w:line="16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 &amp; kids, beverages, and meal preparation are marketed and sold in over 70 countries around the world. The Company operates under two reportable segments: North America and International.</w:t>
      </w:r>
    </w:p>
    <w:p>
      <w:pPr>
        <w:spacing w:after="0" w:line="16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Company’s leading brands include Garden Veggie Snacks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 The Board is considering a broad range of strategic options to enhance value. Also, in the third quarter of fiscal year 2025, we announced that we were exploring strategic alternatives regarding our personal care business to focus on our portfolio of better-for-you food and beverages.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unaudited consolidated financial statements include the accounts of the Company and its wholly-owned and majority-owned subsidiaries. Intercompany accounts and transactions have been eliminated in consolidation. Investments in affiliated companies in which the Company exerts significant influence, but which it does not control, are accounted for under the equity method of accounting. As such, consolidated net loss includes the Company's equity in the current earnings or losses of such companies.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unaudited consolidated financial statements have been prepared in accordance with generally accepted accounting principles in the United States (“U.S. GAAP”) for interim financial information and the instructions to Form 10-Q and Article 10 of Regulation S-X. Accordingly, they do not include all of the information and notes required by U.S. GAAP and should be read in conjunction with the Company’s Annual Report on Form 10-K for the fiscal year ended June 30, 2025 (the “Form 10-K”). The amounts as of and for the periods ended June 30, 2025 are derived from the Company’s audited annual financial statements. The unaudited consolidated financial statements reflect all normal recurring adjustments which, in management’s opinion, are necessary for a fair presentation for interim periods. Operating results for the three months ended September 30, 2025 are not necessarily indicative of the results that may be expected for the fiscal year ending June 30, 2026. Please refer to the Notes to the Consolidated Financial Statements as of June 30, 2025 and for the fiscal year then ended included in the Form 10-K for information not included in these condensed notes.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dollar amounts in the unaudited consolidated financial statements, notes and tables have been rounded to the nearest thousands, except par values and per share amounts,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in the Notes to the Consolidated Financial Statements in the Form 10-K. Included herein are certain updates to those policies.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transfers of financial assets, such as non-recourse accounts receivable financing arrangements, when the Company has surrendered control over the related assets. Determining whether control has transferred requires an evaluation of relevant legal considerations, an assessment of the nature and extent of the Company’s continuing involvement with the assets transferred and any other relevant considerations. The Company has non-recourse financing arrangements in which eligible receivables are sold to third-party buyers in exchange for cash. The Company transferred accounts receivable in their entirety to the buyers and satisfied all of the conditions to report the transfer of financial assets in their entirety as a sale. The principal amount of receivables sold under these arrangements was $73,689 and $56,959 during the three months ended September 30, 2025 and 2024, respectively. The incremental cost of financing receivables under these arrangements is included in selling, general and administrative expenses on the Company’s consolidated statements of operations. The proceeds from the sale of receivables are included in cash used in operating activities on the consolidated statements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standards adopted since the filing of the Form 10-K for the fiscal year ended June 30, 2025 that have significance, or potential significance, to the interim condensed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2025-07 “Derivatives and Hedging and Revenue from Contracts with Customers,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are effective for fiscal years beginning after December 15, 2026, and interim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periods, with early adoption permitted. The Company is currently evaluating the provisions of the amendments and the effect on its future consolidated financial statements.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 Targeted Improvements to the Accounting for Internal-Use Software”, which modernizes the guidance in Accounting Standards Codification (“ASC”) 350-40, Intangibles — Goodwill and Other — Internal-Use Software, to better align with current software development practices, including agile methodologies. The amendments are effective for fiscal years beginning after December 15, 2027 and interim reporting periods within those annual reporting periods. The Company is currently evaluating the provisions of the amendments and the effect on its future consolidated financial statements.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 Measurement of Credit Losses for Accounts Receivable and Contract Assets”, which will provide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The amendments are effective for fiscal years beginning after December 15, 2025 and for interim periods within fiscal years beginning after December 15, 2025. The Company is currently evaluating the provisions of the amendments and the effect on its future consolidated financial statements.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address investor requests for more detailed expense information and require additional disaggregated disclosures in the notes to financial statements for certain categories of expenses that are included on the face of the income statement. The amendments are effective for fiscal years beginning after December 15, 2026, and interim periods within fiscal years beginning after December 15, 2027, with early adoption permitted. The Company is currently evaluating the provisions of the amendments and the effect on its future consolidated financial statements.</w:t>
      </w:r>
    </w:p>
    <w:p>
      <w:pPr>
        <w:spacing w:after="0" w:line="116"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on the consolidated statements of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Borders>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2"/>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90,309</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89,861</w:t>
            </w:r>
          </w:p>
        </w:tc>
      </w:tr>
      <w:tr>
        <w:trPr>
          <w:trHeight w:val="196"/>
        </w:trPr>
        <w:tc>
          <w:tcPr>
            <w:tcW w:w="7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980" w:type="dxa"/>
            <w:vAlign w:val="bottom"/>
            <w:gridSpan w:val="2"/>
          </w:tcPr>
          <w:p>
            <w:pPr>
              <w:jc w:val="right"/>
              <w:ind w:right="7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net loss in each of the three months ended September 30, 2025 and September 30, 2024, all common stock equivalents such as stock options, unvested restricted share units and performance share units have been excluded from the computation of diluted net loss per share. The effect of the stock options and unvested restricted share units would have been anti-dilutive to the computations. The performance share units were contingently issuable based on market conditions or performance goals and such conditions or goals had not been achieved during the respective periods.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HELD FOR SALE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year 2025, the Company announced that it was exploring strategic alternatives regarding its personal care (“PC”) business to focus on its portfolio of better-for-you food and beverages. The Company determined that its PC business was held for sale and ascribed an aggregate $11,000 of goodwill from its U.S. and Canada reporting units, which comprise the North America reportable segment, to the PC business. The operating results of the business were not significant. The Company anticipates entering into a definitive agreement to sell these assets within 12 months from when it was initially classified as held for sale.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due to changes in the carrying value of the net assets compared to estimated fair value less cost to dispose, the Company recorded a reversal of non-cash charges of $1,113 to the allowance for reduction of assets held for sale, reducing the balance to $25,730. The reversal was reflected within other (income) expense, net on the consolidated statements of operations. The following table presents the major classes of assets and liabilities of the PC business classified as held for sale:</w:t>
      </w: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772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7,121</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11,164</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reduction of 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29,603</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CEEFF"/>
          </w:tcPr>
          <w:p>
            <w:pPr>
              <w:ind w:left="3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5,793</w:t>
            </w: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1,762</w:t>
            </w: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-890905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DISPOSITION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ParmCrisps</w:t>
      </w:r>
      <w:r>
        <w:rPr>
          <w:rFonts w:ascii="Times New Roman" w:cs="Times New Roman" w:eastAsia="Times New Roman" w:hAnsi="Times New Roman"/>
          <w:sz w:val="24"/>
          <w:szCs w:val="24"/>
          <w:b w:val="1"/>
          <w:bCs w:val="1"/>
          <w:i w:val="1"/>
          <w:iCs w:val="1"/>
          <w:color w:val="auto"/>
          <w:vertAlign w:val="superscript"/>
        </w:rPr>
        <w:t>®</w:t>
      </w:r>
    </w:p>
    <w:p>
      <w:pPr>
        <w:spacing w:after="0" w:line="14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August 30, 2024, the Company completed the sale of its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for total cash consideration of $12,000, subject to customary post-closing adjustments. The divestiture is consistent with the Company’s portfolio simplification process.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part of the Company’s North America reportable segment. During the three months ended September 30, 2024, the Company deconsolidated the net assets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consisting of $7,280, $6,725, and $1,282 of goodwill, inventory, and machinery and equipment, respectively, and recognized a pretax loss on sale of $3,863 recorded in other expense, net.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3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4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164,824</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177,990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work-in-progress, and packaging</w:t>
            </w:r>
          </w:p>
        </w:tc>
        <w:tc>
          <w:tcPr>
            <w:tcW w:w="3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64,674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70,741</w:t>
            </w:r>
          </w:p>
        </w:tc>
      </w:tr>
      <w:tr>
        <w:trPr>
          <w:trHeight w:val="250"/>
        </w:trPr>
        <w:tc>
          <w:tcPr>
            <w:tcW w:w="452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229,498</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248,731</w:t>
            </w:r>
          </w:p>
        </w:tc>
      </w:tr>
      <w:tr>
        <w:trPr>
          <w:trHeight w:val="723"/>
        </w:trPr>
        <w:tc>
          <w:tcPr>
            <w:tcW w:w="45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358"/>
        </w:trPr>
        <w:tc>
          <w:tcPr>
            <w:tcW w:w="4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-719455</wp:posOffset>
            </wp:positionV>
            <wp:extent cx="111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7740" w:type="dxa"/>
            <w:vAlign w:val="bottom"/>
          </w:tcPr>
          <w:p>
            <w:pPr>
              <w:spacing w:after="0"/>
              <w:rPr>
                <w:sz w:val="24"/>
                <w:szCs w:val="24"/>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61,788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348,064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347,867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56,466</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38,680</w:t>
            </w: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12,692</w:t>
            </w:r>
          </w:p>
        </w:tc>
      </w:tr>
      <w:tr>
        <w:trPr>
          <w:trHeight w:val="209"/>
        </w:trPr>
        <w:tc>
          <w:tcPr>
            <w:tcW w:w="7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551,107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552,018</w:t>
            </w: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295,115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287,288</w:t>
            </w:r>
          </w:p>
        </w:tc>
      </w:tr>
      <w:tr>
        <w:trPr>
          <w:trHeight w:val="210"/>
        </w:trPr>
        <w:tc>
          <w:tcPr>
            <w:tcW w:w="77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255,992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264,730</w:t>
            </w:r>
          </w:p>
        </w:tc>
      </w:tr>
      <w:tr>
        <w:trPr>
          <w:trHeight w:val="20"/>
        </w:trPr>
        <w:tc>
          <w:tcPr>
            <w:tcW w:w="7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2025 and 2024 was $11,444 and $7,910, respectively.</w:t>
      </w:r>
    </w:p>
    <w:p>
      <w:pPr>
        <w:spacing w:after="0" w:line="181"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office space, warehouse and distribution facilities, manufacturing equipment and vehicles primarily in North America and Western Europe. The Company determines if an arrangement is or contains a lease at inception. Right of use assets related to finance leases are included in property, plant and equipment, net on the consolidated balance sheets. Lease liabilities for finance leases are included in the current and non-current portions of long-term debt on the consolidated balance sheets. The current portion of the operating lease liabilities is included in accrued expenses and other current liabilities on the consolidated balance sheets. The Company does not have any related party leases, and sublease transactions are de minimis.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lease expenses for the three months ended September 30, 2025 and 2024 were as follows: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8"/>
                <w:szCs w:val="18"/>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413"/>
        </w:trPr>
        <w:tc>
          <w:tcPr>
            <w:tcW w:w="6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tc>
        <w:tc>
          <w:tcPr>
            <w:tcW w:w="2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carrying value of goodwill by reportable segment: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June 30, 2025</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312,321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188,640</w:t>
            </w:r>
          </w:p>
        </w:tc>
        <w:tc>
          <w:tcPr>
            <w:tcW w:w="14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500,961</w:t>
            </w:r>
          </w:p>
        </w:tc>
        <w:tc>
          <w:tcPr>
            <w:tcW w:w="0" w:type="dxa"/>
            <w:vAlign w:val="bottom"/>
          </w:tcPr>
          <w:p>
            <w:pPr>
              <w:spacing w:after="0"/>
              <w:rPr>
                <w:sz w:val="1"/>
                <w:szCs w:val="1"/>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312,321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185,838</w:t>
            </w:r>
          </w:p>
        </w:tc>
        <w:tc>
          <w:tcPr>
            <w:tcW w:w="56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498,159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-1671320</wp:posOffset>
            </wp:positionV>
            <wp:extent cx="111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-1653540</wp:posOffset>
            </wp:positionV>
            <wp:extent cx="111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8" w:lineRule="exact"/>
        <w:rPr>
          <w:sz w:val="20"/>
          <w:szCs w:val="20"/>
          <w:color w:val="auto"/>
        </w:rPr>
      </w:pPr>
    </w:p>
    <w:p>
      <w:pPr>
        <w:ind w:left="760" w:right="20" w:hanging="752"/>
        <w:spacing w:after="0" w:line="224" w:lineRule="auto"/>
        <w:tabs>
          <w:tab w:leader="none" w:pos="760" w:val="left"/>
        </w:tabs>
        <w:numPr>
          <w:ilvl w:val="0"/>
          <w:numId w:val="7"/>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total carrying value of goodwill is reflected net of $563,159 of accumulated impairment charges, of which $365,379 is related to the North America reportable segment and $197,780 is related to the International reportable segment.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performed an assessment of factors to determine whether it was more likely than not that the fair value of its reporting units was less than its carrying amount, including goodwill. The Company concluded that there were no events or circumstances that warranted an interim quantitative impairment test for goodwill during the three months ended September 30, 2025. As of September 30, 2025, goodwill associated with the U.S. and U.K. reporting units had a carrying value of $312,321 and $114,021, respectively. The goodwill related to the U.S. and U.K. reporting units are at risk of potential</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impairment if the fair value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the gross carrying amount and accumulated amortization, where applicable, for intangible assets, excluding goodwill: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Non-amortized intangible assets:</w:t>
            </w:r>
          </w:p>
        </w:tc>
        <w:tc>
          <w:tcPr>
            <w:tcW w:w="256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69"/>
        </w:trPr>
        <w:tc>
          <w:tcPr>
            <w:tcW w:w="5180" w:type="dxa"/>
            <w:vAlign w:val="bottom"/>
            <w:gridSpan w:val="3"/>
            <w:vMerge w:val="continue"/>
          </w:tcPr>
          <w:p>
            <w:pPr>
              <w:spacing w:after="0"/>
              <w:rPr>
                <w:sz w:val="14"/>
                <w:szCs w:val="14"/>
                <w:color w:val="auto"/>
              </w:rPr>
            </w:pPr>
          </w:p>
        </w:tc>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80" w:type="dxa"/>
            <w:vAlign w:val="bottom"/>
            <w:tcBorders>
              <w:top w:val="single" w:sz="8" w:color="auto"/>
            </w:tcBorders>
            <w:gridSpan w:val="2"/>
          </w:tcPr>
          <w:p>
            <w:pPr>
              <w:ind w:left="140"/>
              <w:spacing w:after="0" w:line="236" w:lineRule="exact"/>
              <w:rPr>
                <w:sz w:val="20"/>
                <w:szCs w:val="20"/>
                <w:color w:val="auto"/>
              </w:rPr>
            </w:pPr>
            <w:r>
              <w:rPr>
                <w:rFonts w:ascii="Times New Roman" w:cs="Times New Roman" w:eastAsia="Times New Roman" w:hAnsi="Times New Roman"/>
                <w:sz w:val="18"/>
                <w:szCs w:val="18"/>
                <w:color w:val="auto"/>
              </w:rPr>
              <w:t>Trademarks and tradenames</w:t>
            </w:r>
            <w:r>
              <w:rPr>
                <w:rFonts w:ascii="Times New Roman" w:cs="Times New Roman" w:eastAsia="Times New Roman" w:hAnsi="Times New Roman"/>
                <w:sz w:val="24"/>
                <w:szCs w:val="24"/>
                <w:color w:val="auto"/>
                <w:vertAlign w:val="superscript"/>
              </w:rPr>
              <w:t>(1)</w:t>
            </w:r>
          </w:p>
        </w:tc>
        <w:tc>
          <w:tcPr>
            <w:tcW w:w="2800" w:type="dxa"/>
            <w:vAlign w:val="bottom"/>
          </w:tcPr>
          <w:p>
            <w:pPr>
              <w:spacing w:after="0"/>
              <w:rPr>
                <w:sz w:val="20"/>
                <w:szCs w:val="20"/>
                <w:color w:val="auto"/>
              </w:rPr>
            </w:pPr>
          </w:p>
        </w:tc>
        <w:tc>
          <w:tcPr>
            <w:tcW w:w="30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177,261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179,282</w:t>
            </w:r>
          </w:p>
        </w:tc>
        <w:tc>
          <w:tcPr>
            <w:tcW w:w="0" w:type="dxa"/>
            <w:vAlign w:val="bottom"/>
          </w:tcPr>
          <w:p>
            <w:pPr>
              <w:spacing w:after="0"/>
              <w:rPr>
                <w:sz w:val="1"/>
                <w:szCs w:val="1"/>
                <w:color w:val="auto"/>
              </w:rPr>
            </w:pPr>
          </w:p>
        </w:tc>
      </w:tr>
      <w:tr>
        <w:trPr>
          <w:trHeight w:val="169"/>
        </w:trPr>
        <w:tc>
          <w:tcPr>
            <w:tcW w:w="51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Amortized intangible assets:</w:t>
            </w:r>
          </w:p>
        </w:tc>
        <w:tc>
          <w:tcPr>
            <w:tcW w:w="25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tcBorders>
              <w:top w:val="single" w:sz="8" w:color="auto"/>
            </w:tcBorders>
          </w:tcPr>
          <w:p>
            <w:pPr>
              <w:ind w:left="140"/>
              <w:spacing w:after="0" w:line="236"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4"/>
                <w:szCs w:val="24"/>
                <w:color w:val="auto"/>
                <w:vertAlign w:val="superscript"/>
              </w:rPr>
              <w:t>(2)</w:t>
            </w:r>
          </w:p>
        </w:tc>
        <w:tc>
          <w:tcPr>
            <w:tcW w:w="3120" w:type="dxa"/>
            <w:vAlign w:val="bottom"/>
            <w:gridSpan w:val="2"/>
          </w:tcPr>
          <w:p>
            <w:pPr>
              <w:spacing w:after="0"/>
              <w:rPr>
                <w:sz w:val="20"/>
                <w:szCs w:val="20"/>
                <w:color w:val="auto"/>
              </w:rPr>
            </w:pPr>
          </w:p>
        </w:tc>
        <w:tc>
          <w:tcPr>
            <w:tcW w:w="2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157,174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159,162</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(127,539)</w:t>
            </w:r>
          </w:p>
        </w:tc>
        <w:tc>
          <w:tcPr>
            <w:tcW w:w="0" w:type="dxa"/>
            <w:vAlign w:val="bottom"/>
          </w:tcPr>
          <w:p>
            <w:pPr>
              <w:spacing w:after="0"/>
              <w:rPr>
                <w:sz w:val="1"/>
                <w:szCs w:val="1"/>
                <w:color w:val="auto"/>
              </w:rPr>
            </w:pPr>
          </w:p>
        </w:tc>
      </w:tr>
      <w:tr>
        <w:trPr>
          <w:trHeight w:val="209"/>
        </w:trPr>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amortized intangible assets</w:t>
            </w:r>
          </w:p>
        </w:tc>
        <w:tc>
          <w:tcPr>
            <w:tcW w:w="25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30,060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31,623</w:t>
            </w: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intangible assets</w:t>
            </w:r>
          </w:p>
        </w:tc>
        <w:tc>
          <w:tcPr>
            <w:tcW w:w="25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207,321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210,905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1" w:lineRule="exact"/>
        <w:rPr>
          <w:sz w:val="20"/>
          <w:szCs w:val="20"/>
          <w:color w:val="auto"/>
        </w:rPr>
      </w:pPr>
    </w:p>
    <w:p>
      <w:pPr>
        <w:ind w:left="760" w:hanging="752"/>
        <w:spacing w:after="0" w:line="224" w:lineRule="auto"/>
        <w:tabs>
          <w:tab w:leader="none" w:pos="266" w:val="left"/>
        </w:tabs>
        <w:numPr>
          <w:ilvl w:val="0"/>
          <w:numId w:val="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gross carrying value of trademarks and tradenames is reflected net of accumulated impairment charges of $275,990 as of each of September 30, 2025 and June 30, 2025.</w:t>
      </w:r>
    </w:p>
    <w:p>
      <w:pPr>
        <w:spacing w:after="0" w:line="89" w:lineRule="exact"/>
        <w:rPr>
          <w:rFonts w:ascii="Times New Roman" w:cs="Times New Roman" w:eastAsia="Times New Roman" w:hAnsi="Times New Roman"/>
          <w:sz w:val="24"/>
          <w:szCs w:val="24"/>
          <w:i w:val="1"/>
          <w:iCs w:val="1"/>
          <w:color w:val="auto"/>
          <w:vertAlign w:val="superscript"/>
        </w:rPr>
      </w:pPr>
    </w:p>
    <w:p>
      <w:pPr>
        <w:ind w:left="760" w:hanging="752"/>
        <w:spacing w:after="0" w:line="224" w:lineRule="auto"/>
        <w:tabs>
          <w:tab w:leader="none" w:pos="760" w:val="left"/>
        </w:tabs>
        <w:numPr>
          <w:ilvl w:val="0"/>
          <w:numId w:val="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gross carrying value of other intangible assets is reflected net of accumulated non-cash impairment charges of $30,326 as of each of September 30, 2025 and June 30, 2025.</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events or circumstances that warranted an interim impairment test for indefinite-lived intangible assets during the three months ended September 30, 2025 or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Amortized intangible assets, which are deemed to have a finite life, primarily consist of customer relationships, trademarks and tradenames and are amortized over their estimated useful lives of 7 to 25 years. The weighted average remaining amortization period of amortized intangible assets is 7.9 years.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included in the consolidated statements of operations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1,212</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60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DEBT AND BORROWINGS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 and borrowings consisted of the following:</w:t>
            </w:r>
          </w:p>
        </w:tc>
        <w:tc>
          <w:tcPr>
            <w:tcW w:w="1600" w:type="dxa"/>
            <w:vAlign w:val="bottom"/>
          </w:tcPr>
          <w:p>
            <w:pPr>
              <w:spacing w:after="0"/>
              <w:rPr>
                <w:sz w:val="24"/>
                <w:szCs w:val="24"/>
                <w:color w:val="auto"/>
              </w:rPr>
            </w:pPr>
          </w:p>
        </w:tc>
        <w:tc>
          <w:tcPr>
            <w:tcW w:w="166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464,000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450,500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253,675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255,550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borrowings</w:t>
            </w:r>
            <w:r>
              <w:rPr>
                <w:rFonts w:ascii="Times New Roman" w:cs="Times New Roman" w:eastAsia="Times New Roman" w:hAnsi="Times New Roman"/>
                <w:sz w:val="24"/>
                <w:szCs w:val="24"/>
                <w:color w:val="auto"/>
                <w:vertAlign w:val="superscript"/>
              </w:rPr>
              <w:t>(1)</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716,210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704,821</w:t>
            </w:r>
          </w:p>
        </w:tc>
        <w:tc>
          <w:tcPr>
            <w:tcW w:w="0" w:type="dxa"/>
            <w:vAlign w:val="bottom"/>
          </w:tcPr>
          <w:p>
            <w:pPr>
              <w:spacing w:after="0"/>
              <w:rPr>
                <w:sz w:val="1"/>
                <w:szCs w:val="1"/>
                <w:color w:val="auto"/>
              </w:rPr>
            </w:pP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Short-term borrowings and current portion of long-term debt</w:t>
            </w:r>
            <w:r>
              <w:rPr>
                <w:rFonts w:ascii="Times New Roman" w:cs="Times New Roman" w:eastAsia="Times New Roman" w:hAnsi="Times New Roman"/>
                <w:sz w:val="24"/>
                <w:szCs w:val="24"/>
                <w:color w:val="auto"/>
                <w:vertAlign w:val="superscript"/>
              </w:rPr>
              <w:t>(2)</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7,647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7,653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708,563</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697,168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2"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Includes $568 (June 30, 2025: $615) of finance lease obligations.</w:t>
      </w:r>
    </w:p>
    <w:p>
      <w:pPr>
        <w:spacing w:after="0" w:line="75" w:lineRule="exact"/>
        <w:rPr>
          <w:rFonts w:ascii="Times New Roman" w:cs="Times New Roman" w:eastAsia="Times New Roman" w:hAnsi="Times New Roman"/>
          <w:sz w:val="24"/>
          <w:szCs w:val="24"/>
          <w:i w:val="1"/>
          <w:iCs w:val="1"/>
          <w:color w:val="auto"/>
          <w:vertAlign w:val="superscript"/>
        </w:rPr>
      </w:pPr>
    </w:p>
    <w:p>
      <w:pPr>
        <w:ind w:left="240" w:hanging="232"/>
        <w:spacing w:after="0" w:line="227" w:lineRule="auto"/>
        <w:tabs>
          <w:tab w:leader="none" w:pos="24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Includes $147 (June 30, 2025: $153) of short-term finance lease obligations.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Agreement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$1,100,000 in the aggregate, consisting of (1) $300,000 in aggregate principal amount of term loans (the “Term Loans”) and (2) an $800,000 senior secured revolving credit facility (which includes borrowing capacity available for letters of credit, and was originally comprised of a $440,000 U.S. revolving credit facility and $360,000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for the quarter ended June 30, 2025 and is 5.50:1.00 for the quarter ending September 30, 2025 and thereafter. Pursuant to the Credit Agreement, the Company’s maximum consolidated leverage ratio is 6.00:1.00, and, through June 30, 2025, its minimum interest coverage ratio was 2.50:1.00.</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$800,000 to $700,000 in the aggregate, with the U.S. revolving credit facility reduced from $440,000 to $385,000 and the global revolving credit facility reduced from $360,000 to $315,000.</w:t>
      </w:r>
    </w:p>
    <w:p>
      <w:pPr>
        <w:spacing w:after="0" w:line="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$17,000 for the quarter ending September 30, 2025 and (ii) $52,000 for the cumulative two quarters ending September 30, 2025 and on December 31, 2025. The aforementioned financial covenants use financial measures that are defined under the Credit Agreement and not pursuant to U.S. GAAP.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$700,000 to $600,000 in the aggregate, with the U.S. revolving credit facility reduced from $385,000 to $330,000 and the global revolving credit facility reduced from $315,000 to $270,000.</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September 30, 2025 was 7.78%. The Company uses interest rate swaps to hedge a portion of the interest rate risk related to its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variable rate debt. As of September 30, 2025, the notional amount of the interest rate swaps was $400,000 with fixed rate payments of 7.12%. Including the impact of hedges, the weighted average interest rate on outstanding borrowings under the Credit Agreement at September 30, 2025 was 7.31%. Additionally, the Credit Agreement contains a commitment fee of 0.25% per annum on the amount unused under the Credit Agreement.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there were $464,000 of loans outstanding under the Revolver, $253,675 of outstanding Term Loans, and $2,667 of letters of credit outstanding under the Credit Agreement. As of September 30, 2025 and June 30, 2025, $133,333 and $246,725, respectively, was available under the Credit Agreement, subject to compliance with the financial covenants. As of September 30, 2025, the Company was in compliance with all associated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Issuance Costs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Fourth Amendment to its Credit Agreement during the first quarter of fiscal year 2026, the Company incurred debt issuance costs of approximately $2,846, of which $2,529 was deferred. Of the total deferred costs, $1,996 were associated with the Revolver and are being amortized on a straight-line basis within Other assets on our Consolidated Balance Sheets, and $533 are being amortized on a straight-line basis, which approximates the effective interest method, as an adjustment to the carrying amount of the Term Loans as a component of Interest and other financing expense, net over the term of the Credit Agreement. Further, the Fourth Amendment decreased the borrowing capacity of the Revolver, resulting in write-off of $604 of previously capitalized deferred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the three months ended September 30, 2025 and September 30, 2024 was $13,602 and $12,455, respectively.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Company uses an estimated annual effective tax rate, which is based on expected annual income and statutory tax rates in the various jurisdictions in which the Company operates, to determine its quarterly provision for income taxes. However, to the extent that application of the estimated annual effective tax rate is not representative of the quarterly portion of actual tax expense expected to be recorded for the year in a jurisdiction, the Company determines the provision for income taxes based on actual year-to-date income (loss), which has been the case for certain jurisdictions for the quarter ended September 30, 2025. Certain significant or unusual items are separately recognized in the quarter in which they occur and can be a source of variability on the effective tax rates from quarter to quarter. The Company’s effective tax rate may change from period-to-period based on recurring and non-recurring factors including the geographical mix of earnings, enacted tax legislation, state and local income taxes and tax audit settlements.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a benefit of 5.8% and an expense of 22.0% for the three months ended September 30, 2025 and 2024, respectively. The income tax benefit for the three months ended September 30, 2025 reflected foreign tax benefit in certain jurisdictions and an increase in the valuation allowance for both federal and state income taxes. The income tax expense for the three months ended September 30, 2024 reflected foreign tax expense in certain jurisdictions and an increase in the valuation allowance for both federal and state income taxes.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new U.S. tax legislation, the One Big Beautiful Bill Act (“OBBBA”), was signed into law. The OBBBA makes permanent key elements of the Tax Cuts and Jobs Act, including 100% bonus depreciation, domestic research cost expensing, and the business interest expense limitation. ASC 740, “Income Taxes”, requires the tax effects of changes in tax rates and tax law be recognized in the period in which the legislation is enacted. The Company completed its initial assessment of OBBBA for the quarter ended September 30, 2025. For the provisions effective in fiscal 2026, there was no material impact to the Company’s effective tax rate for the quarter ended September 30, 2025. The Company will continue to evaluate the impact of the new legislation on its consolidated financial statements as additional guidance is issued.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countries where the Company operates have adopted a global minimum corporate income tax as introduced by the Organization for Economic Cooperation and Development (“OECD”). This new minimum tax was not significant for the quarter ended September 30, 2025.</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tab/>
        <w:t>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(“AOCL”):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0" w:type="dxa"/>
            <w:vAlign w:val="bottom"/>
          </w:tcPr>
          <w:p>
            <w:pPr>
              <w:spacing w:after="0"/>
              <w:rPr>
                <w:sz w:val="17"/>
                <w:szCs w:val="17"/>
                <w:color w:val="auto"/>
              </w:rPr>
            </w:pPr>
          </w:p>
        </w:tc>
        <w:tc>
          <w:tcPr>
            <w:tcW w:w="122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9,395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(137,245)</w:t>
            </w: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39,237</w:t>
            </w:r>
          </w:p>
        </w:tc>
      </w:tr>
      <w:tr>
        <w:trPr>
          <w:trHeight w:val="20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 expense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r>
      <w:tr>
        <w:trPr>
          <w:trHeight w:val="168"/>
        </w:trPr>
        <w:tc>
          <w:tcPr>
            <w:tcW w:w="46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income (loss) for the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464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three months ended September 30, 2024</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47,815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37,836</w:t>
            </w:r>
          </w:p>
        </w:tc>
      </w:tr>
      <w:tr>
        <w:trPr>
          <w:trHeight w:val="23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(99,409)</w:t>
            </w:r>
          </w:p>
        </w:tc>
      </w:tr>
      <w:tr>
        <w:trPr>
          <w:trHeight w:val="183"/>
        </w:trPr>
        <w:tc>
          <w:tcPr>
            <w:tcW w:w="4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(81,053)</w:t>
            </w: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w:t>
            </w:r>
          </w:p>
        </w:tc>
      </w:tr>
      <w:tr>
        <w:trPr>
          <w:trHeight w:val="20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r>
      <w:tr>
        <w:trPr>
          <w:trHeight w:val="168"/>
        </w:trPr>
        <w:tc>
          <w:tcPr>
            <w:tcW w:w="46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(loss) income for the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464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three months ended September 30, 2025</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(92,378)</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r>
        <w:trPr>
          <w:trHeight w:val="406"/>
        </w:trPr>
        <w:tc>
          <w:tcPr>
            <w:tcW w:w="8800" w:type="dxa"/>
            <w:vAlign w:val="bottom"/>
            <w:gridSpan w:val="10"/>
          </w:tcPr>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 xml:space="preserve">  See Note 15, Derivatives and Hedging Activities, for the amounts reclassified into income for deferred gains on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hedging instruments recorded</w:t>
            </w:r>
          </w:p>
        </w:tc>
      </w:tr>
      <w:tr>
        <w:trPr>
          <w:trHeight w:val="236"/>
        </w:trPr>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w w:val="99"/>
              </w:rPr>
              <w:t>in the consolidated statements of operations during the three months ended September</w:t>
            </w:r>
          </w:p>
        </w:tc>
        <w:tc>
          <w:tcPr>
            <w:tcW w:w="2560" w:type="dxa"/>
            <w:vAlign w:val="bottom"/>
            <w:gridSpan w:val="4"/>
          </w:tcPr>
          <w:p>
            <w:pPr>
              <w:jc w:val="right"/>
              <w:ind w:right="839"/>
              <w:spacing w:after="0"/>
              <w:rPr>
                <w:sz w:val="20"/>
                <w:szCs w:val="20"/>
                <w:color w:val="auto"/>
              </w:rPr>
            </w:pPr>
            <w:r>
              <w:rPr>
                <w:rFonts w:ascii="Times New Roman" w:cs="Times New Roman" w:eastAsia="Times New Roman" w:hAnsi="Times New Roman"/>
                <w:sz w:val="18"/>
                <w:szCs w:val="18"/>
                <w:i w:val="1"/>
                <w:iCs w:val="1"/>
                <w:color w:val="auto"/>
              </w:rPr>
              <w:t>30, 2025 and 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-1773555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-1773555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-1773555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-1773555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-1379220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-1362710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-1379220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-1362710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-1379220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-1362710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-1379220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-1362710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-839470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-839470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-839470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-839470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-445135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-427990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-445135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-427990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-445135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-427990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-445135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-427990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AND INCENTIVE PERFORMANCE PLANS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a stockholder-approved plan, The Hain Celestial Group, Inc. 2022 Long Term Incentive and Stock Award Plan (as amended, the “2022 Plan”), which was approved at the Company’s 2022 Annual Meeting of Shareholders held on November 17, 2022, and further amended at each of the Company’s 2024 Annual Meeting of Shareholders held on October 31, 2024 and the Company’s 2025 Annual Meeting of Stockholders held on October 30, 2025. The 2022 Plan permits the Company to continue making equity-based and other incentive awards in a manner intended to properly incentivize its employees, directors, consultants and other service providers by aligning their interests with the interests of the Company’s stockholders. The 2022 Plan is administered by the Compensation Committee of the Company’s Board of Directors. The Company also historically granted shares under its Amended and Restated 2002 Long-Term Incentive and Stock Award Plan and its 2019 Equity Inducement Award Program. The Company’s long-term incentive program (“LTIP”) is described in Note 14, </w:t>
      </w:r>
      <w:r>
        <w:rPr>
          <w:rFonts w:ascii="Times New Roman" w:cs="Times New Roman" w:eastAsia="Times New Roman" w:hAnsi="Times New Roman"/>
          <w:sz w:val="18"/>
          <w:szCs w:val="18"/>
          <w:i w:val="1"/>
          <w:iCs w:val="1"/>
          <w:color w:val="auto"/>
        </w:rPr>
        <w:t>Stock-Based Compensation and Incentive Performance Plans</w:t>
      </w:r>
      <w:r>
        <w:rPr>
          <w:rFonts w:ascii="Times New Roman" w:cs="Times New Roman" w:eastAsia="Times New Roman" w:hAnsi="Times New Roman"/>
          <w:sz w:val="18"/>
          <w:szCs w:val="18"/>
          <w:color w:val="auto"/>
        </w:rPr>
        <w:t>, in the Notes to the Consolidated Financial Statements in the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2025, a new form of awards was granted to employees that can be settled in cash or stock, at the Company’s discretion.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awards are accounted for as liability-based equity awards since the Company has the ability and intent to settle such awards in cash.</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Compensation cost and related income tax (expense) benefit recognized in the consolidated statements of operations for stock-based compensation plans were as follows:</w:t>
      </w:r>
    </w:p>
    <w:tbl>
      <w:tblPr>
        <w:tblLayout w:type="fixed"/>
        <w:tblInd w:w="0" w:type="dxa"/>
        <w:tblCellMar>
          <w:top w:w="0" w:type="dxa"/>
          <w:left w:w="0" w:type="dxa"/>
          <w:bottom w:w="0" w:type="dxa"/>
          <w:right w:w="0" w:type="dxa"/>
        </w:tblCellMar>
      </w:tblPr>
      <w:tr>
        <w:trPr>
          <w:trHeight w:val="202"/>
        </w:trPr>
        <w:tc>
          <w:tcPr>
            <w:tcW w:w="45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awards</w:t>
            </w:r>
          </w:p>
        </w:tc>
        <w:tc>
          <w:tcPr>
            <w:tcW w:w="426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2,003</w:t>
            </w:r>
          </w:p>
        </w:tc>
        <w:tc>
          <w:tcPr>
            <w:tcW w:w="12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8"/>
              </w:rPr>
              <w:t>2,876</w:t>
            </w:r>
          </w:p>
        </w:tc>
      </w:tr>
      <w:tr>
        <w:trPr>
          <w:trHeight w:val="216"/>
        </w:trPr>
        <w:tc>
          <w:tcPr>
            <w:tcW w:w="4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Cash-settled awards</w:t>
            </w:r>
          </w:p>
        </w:tc>
        <w:tc>
          <w:tcPr>
            <w:tcW w:w="3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2,109</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2,876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income tax (expense) benefit</w:t>
            </w:r>
          </w:p>
        </w:tc>
        <w:tc>
          <w:tcPr>
            <w:tcW w:w="426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283</w:t>
            </w:r>
          </w:p>
        </w:tc>
      </w:tr>
      <w:tr>
        <w:trPr>
          <w:trHeight w:val="729"/>
        </w:trPr>
        <w:tc>
          <w:tcPr>
            <w:tcW w:w="4540" w:type="dxa"/>
            <w:vAlign w:val="bottom"/>
          </w:tcPr>
          <w:p>
            <w:pPr>
              <w:spacing w:after="0"/>
              <w:rPr>
                <w:sz w:val="24"/>
                <w:szCs w:val="24"/>
                <w:color w:val="auto"/>
              </w:rPr>
            </w:pPr>
          </w:p>
        </w:tc>
        <w:tc>
          <w:tcPr>
            <w:tcW w:w="324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45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-984885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 Activity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awards are generally issued in the form of restricted share units (“RSUs”), which are service-based awards, and performance share units (“PSUs”) that are subject to the achievement of minimum market conditions or performance goals. RSU awards to employees generally provide for vesting in equal annual installments over a period of three years, with different vesting periods in certain cases. RSU awards to non-employee directors generally provide for a vesting period of one year. For PSU awards, the following share figures are stated at target levels, and the awards outstanding as of September 30, 2025 generally provide for vesting at 0% to 150% or 200% of the target level. Awards of PSUs and RSUs are issued at no cost to the recipient. A summary of all stock-based award activity for the three months ended September 30, 2025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768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7680" w:type="dxa"/>
            <w:vAlign w:val="bottom"/>
          </w:tcPr>
          <w:p>
            <w:pPr>
              <w:spacing w:after="0"/>
              <w:rPr>
                <w:sz w:val="20"/>
                <w:szCs w:val="20"/>
                <w:color w:val="auto"/>
              </w:rPr>
            </w:pPr>
          </w:p>
        </w:tc>
        <w:tc>
          <w:tcPr>
            <w:tcW w:w="1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and Units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and PSUs outstanding at June 30, 2025</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r>
      <w:tr>
        <w:trPr>
          <w:trHeight w:val="249"/>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and PSUs outstanding at September 30, 2025</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fair value of RSUs granted and of shares vested, and the tax benefit recognized from restricted shares vesting was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RSUs granted</w:t>
            </w:r>
          </w:p>
        </w:tc>
        <w:tc>
          <w:tcPr>
            <w:tcW w:w="30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308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38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recognized from restricted shares vesting</w:t>
            </w:r>
          </w:p>
        </w:tc>
        <w:tc>
          <w:tcPr>
            <w:tcW w:w="30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PSUs were granted or vested during the three months ended September 30, 2025. At September 30, 2025, there was $8,194 of unrecognized stock-based compensation expense related to non-vested restricted stock awards, which is expected to be recognized over a weighted average period of 1.19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Cash-Settled Award Activity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cash-settled awards that are either service-based or subject to the achievement of minimum market conditions or performance goals. Service-based cash awards generally provide for vesting in equal annual installments over a period of three years, with different vesting periods in certain cases. For cash awards tied to minimum market conditions or performance goals, award amounts are stated at target levels with vesting at 0% to 150% of the target level depending on conditions or performance. Cash-based awards are issued at no cost to the recipient.</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these cash-settled awards is measured at each reporting period until the awards are settled. The performance-based cash-settled award liability at September 30, 2025 was recorded ratably based on the Company's projected achievement at the end of the measurement period. The cash incentive award liability was $803 at September 30, 2025, all of which is classified as a liability and reported in accrued expenses and other current liabilities.</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estimated fair value of granted cash-settled awards was $2,610. For the reporting period, the Company recognized a forfeiture adjustment of $219.</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there was $1,807 of unrecognized cash-based compensation expense related to non-vested awards, which is expected to be recognized over a weighted average period of 2.08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are required to be grouped in one of three levels. The levels prioritize the inputs used to measure the fair value of the assets or liabilities. These levels are:</w:t>
      </w: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in markets that are not active, or inputs which are observable, either directly or indirectly, for substantially the full term of the asset or liability; and</w:t>
      </w:r>
    </w:p>
    <w:p>
      <w:pPr>
        <w:ind w:left="76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measurement and unobservable (i.e., supported by little or no market activity).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0" w:type="dxa"/>
            <w:vAlign w:val="bottom"/>
          </w:tcPr>
          <w:p>
            <w:pPr>
              <w:spacing w:after="0"/>
              <w:rPr>
                <w:sz w:val="18"/>
                <w:szCs w:val="18"/>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4,659</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19,352</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-479425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-479425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-479425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June 30,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5,835</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19,706</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-479425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-479425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fair value hierarchy during the three months ended September 30, 2025 or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interest rate swaps to manage interest rate risk and cross-currency swaps and foreign currency exchange contracts to manage exposure to currency fluctuations. These instruments are valued using techniques like discounted cash flow (“DCF”) analysis, which considers the contractual terms and market-based inputs such as interest rate curves and implied volatilities. The fair values of interest rate swaps are determined by netting the discounted future fixed and variable cash flows. The variable cash flows are based on expected future interest rates.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valuation adjustments are made to reflect the nonperformance risk of both the Company and its counterparties. Most inputs used to value derivatives fall within Level 2 of the fair value hierarchy, but credit valuation adjustments use Level 3 inputs, such as current credit spreads. The impact of these adjustments was not significant to the overall valuation, so all derivatives as of September 30, 2025 and June 30, 2025 were classified as Level 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non-financial assets, such as goodwill, indefinite and definite lived intangible assets, and long-lived assets (property and equipment, and right-of-use lease assets), at fair value on a nonrecurring basis. These assets are initially measured at fair value at the time of acquisition or purchase, with adjustments only for foreign currency translation. Periodically,</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assets are tested for impairment by comparing their carrying values to their estimated fair values. If an asset is impaired, the Company recognizes an impairment expense equal to the excess of the carrying value over the estimated fair value.</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indefinite-lived intangible assets, fair value is determined using the relief from royalty approach, considering factors like future growth, royalty rates, discount rates, and other variables. Fair value measurements for reporting units where goodwill resides are estimated using a blended analysis of the DCF income approach and the Guideline Public Company Method (“GPCM”) market approach, which involve significant management judgment and Level 3 inputs, such as economic conditions and customer demand. For long-lived assets, the Company compares the fair value of the assets to their carrying value utilizing a valuation technique commensurate with the underlying assets. These measurements are performed at least annually for impairment testing. The Company bases its fair value estimates on reasonable assumptions but acknowledges their unpredictability and inherent uncertainty.</w:t>
      </w:r>
    </w:p>
    <w:p>
      <w:pPr>
        <w:spacing w:after="0" w:line="143" w:lineRule="exact"/>
        <w:rPr>
          <w:sz w:val="20"/>
          <w:szCs w:val="20"/>
          <w:color w:val="auto"/>
        </w:rPr>
      </w:pPr>
    </w:p>
    <w:p>
      <w:pPr>
        <w:ind w:right="7160" w:firstLine="8"/>
        <w:spacing w:after="0" w:line="464" w:lineRule="auto"/>
        <w:tabs>
          <w:tab w:leader="none" w:pos="37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 Risk Management Objective of Using Derivatives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manages its exposures to a wide variety of business and operational risks.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receivables and borrowings.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foreign operations expose the Company to fluctuations of foreign exchange rates. These fluctuations may impact the value of the Company’s cash receipts and payments in terms of the Company’s functional currency. The Company enters into derivative financial instruments to protect the value or fix the amount of certain assets and liabilities in terms of its functional currency, the U.S. Dollar. Accordingly, the Company uses derivative financial instruments to manage and mitigate such risks. The Company does not use derivatives for speculative or trading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the three months ended September 30, 2025 and 2024, such derivatives were used to hedge the variable cash flows associated with existing variable rate debt.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AOCL and subsequently reclassified into interest expense in the same period during which the hedged transaction affects earnings. Amounts reported in AOCL related to derivatives will be reclassified to interest expense as interest payments are made on the Company’s variable rate debt. During the next 12 months, the Company estimates that an additional $2,221 will be reclassified as a decrease to interest expense.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the following outstanding interest rate derivatives that were designated as cash flow hedges of interest rate risk: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Interest Rate Derivative</w:t>
            </w:r>
          </w:p>
        </w:tc>
        <w:tc>
          <w:tcPr>
            <w:tcW w:w="3360" w:type="dxa"/>
            <w:vAlign w:val="bottom"/>
            <w:tcBorders>
              <w:top w:val="single" w:sz="8" w:color="auto"/>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6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10"/>
        </w:trPr>
        <w:tc>
          <w:tcPr>
            <w:tcW w:w="48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3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Foreign Exchange Risk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fluctuations in various foreign currencies against its functional currency, the U.S. Dollar. The Company, at times, uses forward contracts to manage its exposure to fluctuations in the GBP-EUR exchange rates. The Company designates these derivatives as cash flow hedges of foreign exchange risks.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foreign exchange risk, the gain or loss on the derivative is recorded in AOCL and subsequently reclassified in the same period during which the hedged transaction affects earnings within the same income statement line item as the earnings effect of the hedged transaction. During the next 12 months, the Company estimates that no amount relating to the foreign currency forward contracts will be reclassified to interest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the following outstanding foreign currency derivatives that were used to hedge its foreign exchange risks: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Borders>
              <w:top w:val="single" w:sz="8" w:color="auto"/>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780" w:type="dxa"/>
            <w:vAlign w:val="bottom"/>
            <w:tcBorders>
              <w:top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09"/>
        </w:trPr>
        <w:tc>
          <w:tcPr>
            <w:tcW w:w="44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Foreign currency forward contract</w:t>
            </w:r>
          </w:p>
        </w:tc>
        <w:tc>
          <w:tcPr>
            <w:tcW w:w="27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1,964   €</w:t>
            </w:r>
          </w:p>
        </w:tc>
        <w:tc>
          <w:tcPr>
            <w:tcW w:w="2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fluctuations in foreign exchange rates on investments it holds in its European foreign entities and their exposure to the Euro. The Company uses fixed-to-fixed cross-currency swaps to hedge its exposure to changes in the foreign exchange rate on its foreign investment in Western Europe. Currency forward agreements involve fixing the USD-EUR exchange rate for delivery of a specified amount of foreign currency on a specified date. The currency forward agreements are typically cash settled in U.S. Dollars for their fair value at or close to their settlement date. Cross-currency swaps involve the receipt of functional-currency-fixed-rate amounts from a counterparty in exchange for the Company making foreign-currency-fixed-rate payments over the life of the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derivatives designated as net investment hedges, the gain or loss on the derivative is reported in AOCL as part of the cumulative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are reclassified out of AOCL into earnings when the hedged net investment is either sold or substantially liquidated.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the following outstanding foreign currency derivatives that were used to hedge its net investments in foreign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84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3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10"/>
        </w:trPr>
        <w:tc>
          <w:tcPr>
            <w:tcW w:w="44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Cross-currency swap</w:t>
            </w:r>
          </w:p>
        </w:tc>
        <w:tc>
          <w:tcPr>
            <w:tcW w:w="28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100,300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foreign denominated intercompany loans due to changes in foreign exchange spot rates. The Company uses fixed-to-fixed cross-currency swaps to hedge its exposure to changes in foreign exchange rates affecting gains and losses on intercompany loan principal and interest. Cross-currency swaps involve the receipt of functional-currency-fixed-rate amounts from a counterparty in exchange for the Company making foreign-currency-fixed-rate payments over the life of the agreement.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and other financing expense, net.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and losses on the derivative representing hedge components excluded from the assessment of effectiveness are recognized over the life of the hedge on a systematic and rational basis, as documented at hedge inception in accordance with the Company’s accounting policy election. The earnings recognition of excluded components is presented in the same income statement line item as the earnings effect of the hedged transaction. During the next 12 months, the Company estimates that an additional $476 relating to cross currency swaps will be reclassified as a decrease to interest expense.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the following outstanding foreign currency derivatives that were used to hedge changes in fair value attributable to foreign exchange risk: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84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3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09"/>
        </w:trPr>
        <w:tc>
          <w:tcPr>
            <w:tcW w:w="44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Cross-currency swap</w:t>
            </w:r>
          </w:p>
        </w:tc>
        <w:tc>
          <w:tcPr>
            <w:tcW w:w="28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June 30, 2025, the following amounts were recorded on the consolidated balance sheets related to cumulative basis adjustment for fair value hedges: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5"/>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Hedge</w:t>
            </w:r>
          </w:p>
        </w:tc>
      </w:t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4"/>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Adjustment Included in the Carrying</w:t>
            </w:r>
          </w:p>
        </w:tc>
      </w:tr>
      <w:tr>
        <w:trPr>
          <w:trHeight w:val="215"/>
        </w:trPr>
        <w:tc>
          <w:tcPr>
            <w:tcW w:w="3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 of the Hedged Asset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Amount of the Hedged Asset</w:t>
            </w:r>
          </w:p>
        </w:tc>
      </w:tr>
      <w:tr>
        <w:trPr>
          <w:trHeight w:val="183"/>
        </w:trPr>
        <w:tc>
          <w:tcPr>
            <w:tcW w:w="3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1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5"/>
        </w:trPr>
        <w:tc>
          <w:tcPr>
            <w:tcW w:w="3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loan receivable</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28,954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28,982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2,517</w:t>
            </w: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-25400</wp:posOffset>
            </wp:positionV>
            <wp:extent cx="94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94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Hedges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 as of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Asset Derivatives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87"/>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9"/>
        </w:trPr>
        <w:tc>
          <w:tcPr>
            <w:tcW w:w="38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0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198"/>
        </w:trPr>
        <w:tc>
          <w:tcPr>
            <w:tcW w:w="340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gridSpan w:val="2"/>
          </w:tcPr>
          <w:p>
            <w:pPr>
              <w:jc w:val="right"/>
              <w:ind w:right="16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2,218</w:t>
            </w:r>
          </w:p>
        </w:tc>
        <w:tc>
          <w:tcPr>
            <w:tcW w:w="2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2,338</w:t>
            </w:r>
          </w:p>
        </w:tc>
        <w:tc>
          <w:tcPr>
            <w:tcW w:w="2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19,352</w:t>
            </w:r>
          </w:p>
        </w:tc>
      </w:tr>
      <w:tr>
        <w:trPr>
          <w:trHeight w:val="21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19,352</w:t>
            </w:r>
          </w:p>
        </w:tc>
      </w:tr>
      <w:tr>
        <w:trPr>
          <w:trHeight w:val="20"/>
        </w:trPr>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 as of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tcPr>
          <w:p>
            <w:pPr>
              <w:ind w:left="7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7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0"/>
        </w:trPr>
        <w:tc>
          <w:tcPr>
            <w:tcW w:w="38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2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7"/>
                <w:szCs w:val="17"/>
                <w:color w:val="auto"/>
              </w:rPr>
            </w:pPr>
          </w:p>
        </w:tc>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AOCL for the three months ended September 30, 2025 and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138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90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Amount of Gain (Loss) Recognized in AOCL on Derivatives</w:t>
            </w: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gridSpan w:val="3"/>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700" w:type="dxa"/>
            <w:vAlign w:val="bottom"/>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9"/>
        </w:trPr>
        <w:tc>
          <w:tcPr>
            <w:tcW w:w="4640" w:type="dxa"/>
            <w:vAlign w:val="bottom"/>
            <w:gridSpan w:val="4"/>
            <w:vMerge w:val="continue"/>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314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176"/>
        </w:trPr>
        <w:tc>
          <w:tcPr>
            <w:tcW w:w="4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1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176"/>
        </w:trPr>
        <w:tc>
          <w:tcPr>
            <w:tcW w:w="4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Derivatives in fair value hedging relationships:</w:t>
            </w: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17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4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1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-873760</wp:posOffset>
            </wp:positionV>
            <wp:extent cx="146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the consolidated statements of operations, recorded in interest and other financing expense, net, for the three months ended September 30, 2025 and 2024:</w:t>
      </w: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AOCL into Income</w:t>
      </w:r>
    </w:p>
    <w:p>
      <w:pPr>
        <w:spacing w:after="0" w:line="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5715</wp:posOffset>
            </wp:positionV>
            <wp:extent cx="3111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3"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9"/>
        </w:trPr>
        <w:tc>
          <w:tcPr>
            <w:tcW w:w="6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1560" w:type="dxa"/>
            <w:vAlign w:val="bottom"/>
            <w:gridSpan w:val="2"/>
          </w:tcPr>
          <w:p>
            <w:pPr>
              <w:jc w:val="right"/>
              <w:ind w:right="140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1,340</w:t>
            </w:r>
          </w:p>
        </w:tc>
        <w:tc>
          <w:tcPr>
            <w:tcW w:w="7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3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2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Derivatives in fair value hedging relationships:</w:t>
            </w:r>
          </w:p>
        </w:tc>
        <w:tc>
          <w:tcPr>
            <w:tcW w:w="294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8"/>
                <w:szCs w:val="18"/>
                <w:color w:val="auto"/>
              </w:rPr>
              <w:t>Cross-currency swaps</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60" w:hanging="752"/>
        <w:spacing w:after="0" w:line="284" w:lineRule="auto"/>
        <w:tabs>
          <w:tab w:leader="none" w:pos="7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amount that is excluded from effectiveness testing. The amount of gain, excluded from effectiveness testing, reclassified from AOCL into income for the three months ended September 30, 2025 and 2024 was $111 and $123, respectively.</w:t>
      </w:r>
    </w:p>
    <w:p>
      <w:pPr>
        <w:spacing w:after="0" w:line="1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TRANSFORMATION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2024, the Company initiated a multi-year growth, transformation and restructuring program (the “Restructuring Program”). The Restructuring Program is intended to optimize the Company’s portfolio, improve underlying profitability and increase its flexibility to invest in targeted growth initiatives, brand building and other capabilities critical to delivering future growth. The savings initiatives are expected to impact the Company’s reportable segments and Corporate and Other.</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Implementation of the Restructuring Program is expected to be completed by the end of the 2027 fiscal year and is comprised of contract termination costs, asset write-downs, employee-related costs and other transformation-related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expenses associated with the Restructuring Program in the amount of $8,219 and $5,283, were recorded in productivity and transformation costs and cost of sales, respectively, on the consolidated statements of operations. For the three months ended September 30, 2024, expenses associated with the Restructuring Program in the amount of $5,018, $376, and $31, were recorded in productivity and transformation costs, cost of sales, and long-lived asset impairment, respectively, on the consolidated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expenses associated with the Restructuring Program for the three-month periods ended September 30, 2025 and September 30, 2024 by reportable segments and Corporate and Other.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9,406</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5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-882015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activities and liability balances relating to the Restructuring Program for the three-month period ended September 30, 2025. The Company expects to pay the remaining accrued restructuring costs during the next 12 months.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Balance at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rPr>
              <w:t>Balance at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75"/>
              <w:spacing w:after="0" w:line="16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94"/>
              <w:spacing w:after="0" w:line="162" w:lineRule="exact"/>
              <w:rPr>
                <w:sz w:val="20"/>
                <w:szCs w:val="20"/>
                <w:color w:val="auto"/>
              </w:rPr>
            </w:pPr>
            <w:r>
              <w:rPr>
                <w:rFonts w:ascii="Times New Roman" w:cs="Times New Roman" w:eastAsia="Times New Roman" w:hAnsi="Times New Roman"/>
                <w:sz w:val="15"/>
                <w:szCs w:val="15"/>
                <w:b w:val="1"/>
                <w:bCs w:val="1"/>
                <w:color w:val="auto"/>
              </w:rPr>
              <w:t>Amounts</w:t>
            </w:r>
          </w:p>
        </w:tc>
        <w:tc>
          <w:tcPr>
            <w:tcW w:w="120" w:type="dxa"/>
            <w:vAlign w:val="bottom"/>
          </w:tcPr>
          <w:p>
            <w:pPr>
              <w:spacing w:after="0"/>
              <w:rPr>
                <w:sz w:val="14"/>
                <w:szCs w:val="14"/>
                <w:color w:val="auto"/>
              </w:rPr>
            </w:pPr>
          </w:p>
        </w:tc>
        <w:tc>
          <w:tcPr>
            <w:tcW w:w="1640" w:type="dxa"/>
            <w:vAlign w:val="bottom"/>
            <w:gridSpan w:val="2"/>
          </w:tcPr>
          <w:p>
            <w:pPr>
              <w:jc w:val="right"/>
              <w:ind w:right="72"/>
              <w:spacing w:after="0" w:line="162" w:lineRule="exact"/>
              <w:rPr>
                <w:sz w:val="20"/>
                <w:szCs w:val="20"/>
                <w:color w:val="auto"/>
              </w:rPr>
            </w:pPr>
            <w:r>
              <w:rPr>
                <w:rFonts w:ascii="Times New Roman" w:cs="Times New Roman" w:eastAsia="Times New Roman" w:hAnsi="Times New Roman"/>
                <w:sz w:val="15"/>
                <w:szCs w:val="15"/>
                <w:b w:val="1"/>
                <w:bCs w:val="1"/>
                <w:color w:val="auto"/>
              </w:rPr>
              <w:t>Non-cash settlements/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83"/>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Employee-related costs</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5"/>
                <w:szCs w:val="15"/>
                <w:b w:val="1"/>
                <w:bCs w:val="1"/>
                <w:color w:val="auto"/>
              </w:rPr>
              <w:t>Charges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5"/>
                <w:szCs w:val="15"/>
                <w:b w:val="1"/>
                <w:bCs w:val="1"/>
                <w:color w:val="auto"/>
              </w:rPr>
              <w:t>Paid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164"/>
        </w:trPr>
        <w:tc>
          <w:tcPr>
            <w:tcW w:w="34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Contract termination costs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
              <w:spacing w:after="0" w:line="164" w:lineRule="exact"/>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2"/>
              <w:spacing w:after="0" w:line="164" w:lineRule="exact"/>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12"/>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5"/>
              <w:spacing w:after="0" w:line="164"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Asset write-downs</w:t>
            </w:r>
            <w:r>
              <w:rPr>
                <w:rFonts w:ascii="Times New Roman" w:cs="Times New Roman" w:eastAsia="Times New Roman" w:hAnsi="Times New Roman"/>
                <w:sz w:val="24"/>
                <w:szCs w:val="24"/>
                <w:color w:val="auto"/>
                <w:vertAlign w:val="superscript"/>
              </w:rPr>
              <w:t>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34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Other transformation-related expenses</w:t>
            </w:r>
            <w:r>
              <w:rPr>
                <w:rFonts w:ascii="Times New Roman" w:cs="Times New Roman" w:eastAsia="Times New Roman" w:hAnsi="Times New Roman"/>
                <w:sz w:val="24"/>
                <w:szCs w:val="24"/>
                <w:color w:val="auto"/>
                <w:vertAlign w:val="superscript"/>
              </w:rPr>
              <w:t>3</w:t>
            </w:r>
          </w:p>
        </w:tc>
        <w:tc>
          <w:tcPr>
            <w:tcW w:w="6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3,018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13,502</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9" w:lineRule="exact"/>
        <w:rPr>
          <w:sz w:val="20"/>
          <w:szCs w:val="20"/>
          <w:color w:val="auto"/>
        </w:rPr>
      </w:pPr>
    </w:p>
    <w:p>
      <w:pPr>
        <w:ind w:left="100" w:hanging="92"/>
        <w:spacing w:after="0"/>
        <w:tabs>
          <w:tab w:leader="none" w:pos="100" w:val="left"/>
        </w:tabs>
        <w:numPr>
          <w:ilvl w:val="0"/>
          <w:numId w:val="13"/>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Employee-related costs include $833 of severance related to executive officer succession.</w:t>
      </w:r>
    </w:p>
    <w:p>
      <w:pPr>
        <w:spacing w:after="0" w:line="15" w:lineRule="exact"/>
        <w:rPr>
          <w:rFonts w:ascii="Times New Roman" w:cs="Times New Roman" w:eastAsia="Times New Roman" w:hAnsi="Times New Roman"/>
          <w:sz w:val="24"/>
          <w:szCs w:val="24"/>
          <w:i w:val="1"/>
          <w:iCs w:val="1"/>
          <w:color w:val="auto"/>
          <w:vertAlign w:val="superscript"/>
        </w:rPr>
      </w:pPr>
    </w:p>
    <w:p>
      <w:pPr>
        <w:spacing w:after="0" w:line="199" w:lineRule="auto"/>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8"/>
          <w:szCs w:val="18"/>
          <w:i w:val="1"/>
          <w:iCs w:val="1"/>
          <w:color w:val="auto"/>
        </w:rPr>
        <w:t xml:space="preserve"> Represents non-cash asset write downs due to accelerated depreciation.</w:t>
      </w:r>
    </w:p>
    <w:p>
      <w:pPr>
        <w:ind w:right="660"/>
        <w:spacing w:after="0" w:line="213" w:lineRule="auto"/>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24"/>
          <w:szCs w:val="24"/>
          <w:i w:val="1"/>
          <w:iCs w:val="1"/>
          <w:color w:val="auto"/>
          <w:vertAlign w:val="superscript"/>
        </w:rPr>
        <w:t>3</w:t>
      </w:r>
      <w:r>
        <w:rPr>
          <w:rFonts w:ascii="Times New Roman" w:cs="Times New Roman" w:eastAsia="Times New Roman" w:hAnsi="Times New Roman"/>
          <w:sz w:val="18"/>
          <w:szCs w:val="18"/>
          <w:i w:val="1"/>
          <w:iCs w:val="1"/>
          <w:color w:val="auto"/>
        </w:rPr>
        <w:t xml:space="preserve"> Other transformation-related expenses primarily include consultancy charges related to reorganization of global functions and related personnel resource requirements, and rationalizing sourcing and supply chain processes.</w:t>
      </w:r>
    </w:p>
    <w:p>
      <w:pPr>
        <w:spacing w:after="0" w:line="1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Filed in Federal Court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former officers (collectively, the “Defendants”) are defendants in a consolidated class action complaint in the Eastern District of New York under the caption In re The Hain Celestial Group, Inc. Securities Litigation (the “Consolidated Securities Action”). A Corrected Consolidated Amended Complaint was filed in the summer of 2017, which asserted violations of Sections 10(b) and 20(a) of the Securities Exchange Act of 1934 based on allegedly materially false or misleading statements and omissions in public statements, press releases and SEC filings regarding the Company’s business, prospects, financial results and internal controls.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Defendants’ initial motion to dismiss was granted without prejudice to replead in October 2017, the Co-Lead Plaintiffs filed a Second Amended Consolidated Class Action Complaint on May 6, 2019 (the “Second Amended Complaint”), which made allegations similar to those in the previous complaint. After several years of motion practice and related court orders, on September 29, 2023, the District Court granted Defendants’ Motion to Dismiss the Second Amended Complaint. Co-Lead Plaintiffs filed a notice of appeal on October 26, 2023, appealing the District Court’s decision dismissing the Second Amended Complaint to the Second Circuit, and the appeal was fully briefed as of June 3, 2024. On September 29, 2025, the Second Circuit reversed and remanded the matter for further proceedings. Defendants filed a petition for panel rehearing or rehearing en banc on October 27, 2025 and await a decision.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Stockholder Class Action and Derivative Complaints Filed in Federal Court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former Board of Directors and certain former officers of the Company are defendants in a consolidated action, originally filed in 2017 in the Eastern District of New York, under the caption In re The Hain Celestial Group, Inc. Stockholder Class and Derivative Litigation (the “Consolidated Stockholder Class and Derivative Action”). The plaintiffs allege that the Company’s former directors and certain former officers made materially false and misleading statements in press releases and SEC filings regarding the Company’s business, prospects and financial results and that the Company violated its by-laws and Delaware law by failing to hold its 2016 Annual Stockholders Meeting and claim breach of fiduciary duty, unjust enrichment and corporate waste.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several years of motion practice and related court orders in the related Consolidated Securities Action, on July 24, 2020, the plaintiffs made a stockholder litigation demand on the Board containing overlapping factual allegations to those set forth in the Consolidated Stockholder Class and Derivative Action. On November 3, 2020, Plaintiffs were informed that the Board had finished investigating and resolved, among other things, that the demand should be rejected. In light of developments in the Consolidated Securities Action referenced above that remanded that case for further proceedings, the parties submitted a joint status report on December 29, 2021 requesting that the District Court continue the temporary stay pending the District Court’s reconsideration of the Defendants’ motion to dismiss the Second Amended Complaint in the Consolidated Securities Action. The parties have agreed to extend the stay during the pendency of the pending appeal in the Consolidated Securities Action, most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recently through the earlier of September 29, 2025 or 30 days after the Second Circuit issues a decision on plaintiffs’ appeal. Following the Second Circuit’s reversal and remand on September 29, 2025, the Court further ordered a further status update to be provided on November 14,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Class Action Litigation</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Since February 2021, the Company has been named in numerous consumer class actions alleging that the Company’s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(the “Products”) contain unsafe and undisclosed levels of various naturally occurring heavy metals, namely lead, arsenic, cadmium and mercury. Those actions were transferred and consolidated as a single lawsuit in the U.S. District Court for the Eastern District of New York captioned In re Hain Celestial Heavy Metals Baby Food Litigation, Case No. 2:21-cv-678 (the “Consolidated Proceeding”). In the Consolidated Proceeding, the plaintiffs generally allege that the Company violated various state consumer protection laws and assert other state and common law warranty and unjust enrichment claims related to the alleged failure to disclose the presence of these metals, arguing that consumers would have either not purchased the Products or would have paid less for them had the Company made adequate disclosures. The Company filed a motion to dismiss the Consolidated Class Action Complaint. Following oral argument on August 1, 2024, the Court issued an order on December 27, 2024 in which it granted the Company’s motion to dismiss with respect to Plaintiffs’ claims arising out of the alleged presence of lead, cadmium, mercury, or other substances, as well as any claims challenging the use of the “USDA Organic” seal on the Products’ labeling, and denied the Company’s motion to dismiss with respect to Plaintiffs’ claims arising out of the alleged presence of arsenic in the Products. The Company filed its answer to the Consolidated Class Action Complaint on January 23, 2025. One consumer class action is pending in New York Supreme Court, Nassau County, which the court has stayed in deference to the Consolidated Proceeding. The Company denies the allegations in these lawsuits and contends that its baby foods are safe and properly labeled.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claims raised in these lawsuits were brought in the wake of a highly publicized report issued by the U.S. House of Representatives Subcommittee on Economic and Consumer Policy on Oversight and Reform, dated February 4, 2021 (the “House Report”), addressing the presence of heavy metals in baby foods made by certain manufacturers, including the Company. Since the publication of the House Report, the Company has also received information requests with respect to the advertising and quality of its baby foods from certain governmental authorities, as such authorities investigate the claims made in the House Report. The Company is fully cooperating with these requests and has provided documents and other requested information.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named in one civil government enforcement action, State of New Mexico ex rel. Balderas v. Nurture, Inc., et al., which was filed by the New Mexico Attorney General against the Company and several other manufacturers based on the alleged presence of heavy metals in their baby food products. The Company and several other manufacturers moved to dismiss the New Mexico Attorney General’s lawsuit, and the Court denied that motion. The Company filed its answer to the New Mexico Attorney General’s amended complaint on April 23, 2022, and discovery is ongoing. The Company denies the New Mexico Attorney General’s allegations and maintains that its baby foods are safe, properly labeled, and compliant with New Mexico law.</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consumer class actions discussed above, the Company is currently named in numerous lawsuits in state and federal courts alleging some form of personal injury from the ingestion of the Company’s Products, purportedly due to unsafe and undisclosed levels of various naturally occurring heavy metals. These lawsuits generally allege injuries related to neurological development disorders such as autism and attention deficit hyperactivity disorder.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Multidistrict Litigation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4, 2024, plaintiffs in federal cases across the country filed a Motion to Transfer Actions for Coordinated or Consolidated Pretrial Proceedings. On April 11, 2024, the United States Judicial Panel on Multidistrict Litigation granted plaintiffs’ motion and transferred the cases to the Northern District of California for coordinated or consolidated pretrial proceedings. On April 15, 2024, the court issued an order staying all outstanding discovery proceedings and pending motions and vacating all previously scheduled hearing dates. There are approximately 100 federal cases filed against the Company pending in the multi-district litigation (“MDL”). Plaintiffs filed their Master Complaint on July 15, 2024. On December 18, 2024, Defendants filed motions to dismiss the Master Complaint, which the Court granted in part and denied in part. The MDL is first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proceeding with general causation discovery. Expert discovery has closed. The parties Rule 702 motions have been fully briefed. The Court will hold Rule 702 hearings during the week of December 8,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California State Court Cases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ten personal injury cases against the Company pending in California State Superior Courts relating to the same allegations regarding trace levels of heavy metals in the Products. These cases are now (or will be) included in Judicial Council Coordinated Proceedings (“JCCP”). In June 2024, the cases were assigned a trial coordination judge. All but three of the cases are currently stayed.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Landon R. v. The Hain Celestial Group, Inc., et al., No. 23STCV24844, discovery has closed. The Court held hearings on the parties’ Sargon and Summary Judgment Motions on August 11-13, 2025. The Court will continue to hold hearings on the parties’ motions in fall 2025. Trial is currently set for March 16,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the Court lifted the discovery and pleading stay in two additional cases: Kaleb R. v. Hain Celestial Group, Inc. et al.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23STCV30542) and Samuel R. v. Hain Celestial Group, Inc. et al. (No. 23CV057126). Discovery is ongoing in both cases.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Palmquist v. The Hain Celestial Group</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a jury trial in February 2023 in the baby food-related matter Palmquist v. The Hain Celestial Group, Inc., the court granted the Company’s motion for a directed verdict, finding no liability for the Company. The Court entered Final Judgment in the Company’s favor on March 3, 2023.</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Plaintiffs appealed in the Fifth Circuit, and on May 28, 2024, the Fifth Circuit reversed the district court’s order denying Plaintiff’s motion to remand the case and vacated the final judgement of the district court. The Company filed a Petition for En Banc Reconsideration, which the Fifth Circuit denied.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successfully petitioned the United States Supreme Court for a writ of certiorari, and the appeal is fully briefed as of September 10, 2025. The Court heard oral argument on November 4, 2025 and the parties await a decision.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case has been remanded to Texas state court, where it is now pending in the District Court of Brazoria County, Texas. Discovery is ongoing, but the trial has been continued pending a decision at the United States Supreme Court.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of the above-described baby food matters, the Company denies that its Products led to any of the alleged injuries and will defend these cases vigorously. That said, as is common in circumstances of this nature, additional lawsuits may be filed against the Company in the future, asserting similar or different legal theories and seeking similar or different types of damages and relief. Such lawsuits may be resolved in a manner adverse to us, and we may incur substantial costs or damages not covered by insurance, which could have a material adverse effect on our financial condition and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matters described above, the Company is and may be a defendant in lawsuits from time to time in the normal course of business.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litigation and related matters, the Company records a liability when the Company believes it is probable that a liability has been incurred and the amount can be reasonably estimated. As of the end of the period covered by this report, the Company has not recorded a liability for any of the matters disclosed in this note. It is possible that some matters could require the Company to pay damages, incur other costs or establish accruals in amounts that could not be reasonably estimated as of the end of the period covered by this report.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Interim President and Chief Executive Officer is the CODM of the Company. The Company’s measure of segment profitability is Adjusted EBITDA and the CODM also uses net sales in order to analyze segment results and trends to allocate resources. On a monthly basis, the CODM reviews how actual results compare to forecasts and prior periods when making decisions regarding strategic initiatives and capital investments to segments.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Adjusted EBITDA excludes: net interest expense, income taxes, depreciation and amortization, equity in net loss of equity-method investees, stock-based compensation, net, unrealized currency losses, certain litigation and related costs, plant closure related costs, net, productivity and transformation costs, warehouse and manufacturing consolidation and other costs, net, costs associated with acquisitions, divestitures and other transactions, (gain) loss on sale of assets, long-lived asset impairments and other adjustments. In addition, Segment Adjusted EBITDA does not include Corporate and Other expenses related to the Company’s centralized administrative functions, which do not specifically relate to a reportable segment. Such Corporate and Other expenses are comprised mainly of compensation and related expenses of certain of the Company’s senior executive officers and other employees who perform duties related to the entire enterprise, litigation expense and expenses for certain professional fees, facilities, and other items which benefit the Company as a whole.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each of the Company’s reportable segment’s revenue, significant segment expenses and measure of segment profit or loss for the three months ended September 30, 2025 and 2024. Information about total assets by segment is not disclosed because such information is not reported to or used by the Company’s CODM for purposes of assessing segment performance or allocating resources. Transactions between reportable segments were insignificant for all periods presented.</w:t>
      </w:r>
    </w:p>
    <w:tbl>
      <w:tblPr>
        <w:tblLayout w:type="fixed"/>
        <w:tblInd w:w="0" w:type="dxa"/>
        <w:tblCellMar>
          <w:top w:w="0" w:type="dxa"/>
          <w:left w:w="0" w:type="dxa"/>
          <w:bottom w:w="0" w:type="dxa"/>
          <w:right w:w="0" w:type="dxa"/>
        </w:tblCellMar>
      </w:tblPr>
      <w:tr>
        <w:trPr>
          <w:trHeight w:val="158"/>
        </w:trPr>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jc w:val="right"/>
              <w:ind w:right="611"/>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69"/>
        </w:trPr>
        <w:tc>
          <w:tcPr>
            <w:tcW w:w="7740" w:type="dxa"/>
            <w:vAlign w:val="bottom"/>
            <w:gridSpan w:val="8"/>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203,920</w:t>
            </w:r>
          </w:p>
        </w:tc>
        <w:tc>
          <w:tcPr>
            <w:tcW w:w="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231,140</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163,963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163,456</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367,883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394,596</w:t>
            </w:r>
          </w:p>
        </w:tc>
      </w:tr>
      <w:tr>
        <w:trPr>
          <w:trHeight w:val="189"/>
        </w:trPr>
        <w:tc>
          <w:tcPr>
            <w:tcW w:w="4120" w:type="dxa"/>
            <w:vAlign w:val="bottom"/>
            <w:tcBorders>
              <w:bottom w:val="single" w:sz="8" w:color="auto"/>
            </w:tcBorders>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Cost of sales, adjusted to exclude restructuring activities:</w:t>
            </w:r>
          </w:p>
        </w:tc>
        <w:tc>
          <w:tcPr>
            <w:tcW w:w="362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(183,527)</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(129,130)</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(296,015)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(312,657)</w:t>
            </w:r>
          </w:p>
        </w:tc>
      </w:tr>
      <w:tr>
        <w:trPr>
          <w:trHeight w:val="189"/>
        </w:trPr>
        <w:tc>
          <w:tcPr>
            <w:tcW w:w="144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Marketing expense:</w:t>
            </w:r>
          </w:p>
        </w:tc>
        <w:tc>
          <w:tcPr>
            <w:tcW w:w="6300" w:type="dxa"/>
            <w:vAlign w:val="bottom"/>
            <w:tcBorders>
              <w:bottom w:val="single" w:sz="8" w:color="CFF0FC"/>
            </w:tcBorders>
            <w:gridSpan w:val="6"/>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169"/>
        </w:trPr>
        <w:tc>
          <w:tcPr>
            <w:tcW w:w="7120" w:type="dxa"/>
            <w:vAlign w:val="bottom"/>
            <w:tcBorders>
              <w:bottom w:val="single" w:sz="8" w:color="auto"/>
            </w:tcBorders>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Other selling, general and administrative expenses, adjusted to exclude restructuring activities and</w:t>
            </w:r>
          </w:p>
        </w:tc>
        <w:tc>
          <w:tcPr>
            <w:tcW w:w="6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spacing w:after="0"/>
              <w:rPr>
                <w:sz w:val="14"/>
                <w:szCs w:val="14"/>
                <w:color w:val="auto"/>
              </w:rPr>
            </w:pPr>
          </w:p>
        </w:tc>
      </w:tr>
      <w:tr>
        <w:trPr>
          <w:trHeight w:val="216"/>
        </w:trPr>
        <w:tc>
          <w:tcPr>
            <w:tcW w:w="7740" w:type="dxa"/>
            <w:vAlign w:val="bottom"/>
            <w:gridSpan w:val="8"/>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2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540" w:type="dxa"/>
            <w:vAlign w:val="bottom"/>
            <w:tcBorders>
              <w:top w:val="single" w:sz="8" w:color="CFF0FC"/>
            </w:tcBorders>
            <w:gridSpan w:val="4"/>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(24,843)</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(30,927)</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(16,424)</w:t>
            </w: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(47,351)</w:t>
            </w:r>
          </w:p>
        </w:tc>
      </w:tr>
      <w:tr>
        <w:trPr>
          <w:trHeight w:val="189"/>
        </w:trPr>
        <w:tc>
          <w:tcPr>
            <w:tcW w:w="388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Depreciation and amortization and other adjustments:</w:t>
            </w:r>
          </w:p>
        </w:tc>
        <w:tc>
          <w:tcPr>
            <w:tcW w:w="3860" w:type="dxa"/>
            <w:vAlign w:val="bottom"/>
            <w:tcBorders>
              <w:bottom w:val="single" w:sz="8" w:color="CFF0FC"/>
            </w:tcBorders>
            <w:gridSpan w:val="3"/>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4,418</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6,859</w:t>
            </w: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9,441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11,277</w:t>
            </w:r>
          </w:p>
        </w:tc>
      </w:tr>
      <w:tr>
        <w:trPr>
          <w:trHeight w:val="190"/>
        </w:trPr>
        <w:tc>
          <w:tcPr>
            <w:tcW w:w="7740" w:type="dxa"/>
            <w:vAlign w:val="bottom"/>
            <w:gridSpan w:val="8"/>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Segment Adjusted EBITDA:</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216"/>
        </w:trPr>
        <w:tc>
          <w:tcPr>
            <w:tcW w:w="2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60" w:type="dxa"/>
            <w:vAlign w:val="bottom"/>
            <w:tcBorders>
              <w:top w:val="single" w:sz="8" w:color="CFF0FC"/>
            </w:tcBorders>
            <w:gridSpan w:val="5"/>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17,009</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12,459</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12,555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20,370</w:t>
            </w:r>
          </w:p>
        </w:tc>
      </w:tr>
      <w:tr>
        <w:trPr>
          <w:trHeight w:val="210"/>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Reportable Segments Adjusted EBITDA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29,564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32,829</w:t>
            </w:r>
          </w:p>
        </w:tc>
      </w:tr>
      <w:tr>
        <w:trPr>
          <w:trHeight w:val="216"/>
        </w:trPr>
        <w:tc>
          <w:tcPr>
            <w:tcW w:w="77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(10,454)</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19,732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22,375</w:t>
            </w:r>
          </w:p>
        </w:tc>
      </w:tr>
      <w:tr>
        <w:trPr>
          <w:trHeight w:val="216"/>
        </w:trPr>
        <w:tc>
          <w:tcPr>
            <w:tcW w:w="77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(11,427)</w:t>
            </w: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7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(12,995)</w:t>
            </w: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77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Unrealized currency losses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7740" w:type="dxa"/>
            <w:vAlign w:val="bottom"/>
            <w:gridSpan w:val="8"/>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(a)</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40" w:type="dxa"/>
            <w:vAlign w:val="bottom"/>
            <w:gridSpan w:val="8"/>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16"/>
        </w:trPr>
        <w:tc>
          <w:tcPr>
            <w:tcW w:w="7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7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740" w:type="dxa"/>
            <w:vAlign w:val="bottom"/>
            <w:gridSpan w:val="8"/>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16"/>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40" w:type="dxa"/>
            <w:vAlign w:val="bottom"/>
            <w:gridSpan w:val="8"/>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-5622925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-5057140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-4491355</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-3788410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-3222625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-2656840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-2373630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9" w:lineRule="exact"/>
        <w:rPr>
          <w:sz w:val="20"/>
          <w:szCs w:val="20"/>
          <w:color w:val="auto"/>
        </w:rPr>
      </w:pPr>
    </w:p>
    <w:p>
      <w:pPr>
        <w:ind w:left="5540" w:right="4000" w:hanging="5532"/>
        <w:spacing w:after="0"/>
        <w:tabs>
          <w:tab w:leader="none" w:pos="184" w:val="left"/>
        </w:tabs>
        <w:numPr>
          <w:ilvl w:val="0"/>
          <w:numId w:val="1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 xml:space="preserve">Expenses and items relating to securities class action, baby food litigation and SEC investigation. </w:t>
      </w: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product category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196"/>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Snacks</w:t>
            </w:r>
          </w:p>
        </w:tc>
        <w:tc>
          <w:tcPr>
            <w:tcW w:w="96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80,015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99,475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Baby &amp; Kids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55,792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60,768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59,574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56,676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Meal Preparation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159,622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159,392</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12,880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18,285</w:t>
            </w:r>
          </w:p>
        </w:tc>
      </w:tr>
      <w:tr>
        <w:trPr>
          <w:trHeight w:val="209"/>
        </w:trPr>
        <w:tc>
          <w:tcPr>
            <w:tcW w:w="7740" w:type="dxa"/>
            <w:vAlign w:val="bottom"/>
          </w:tcPr>
          <w:p>
            <w:pPr>
              <w:spacing w:after="0"/>
              <w:rPr>
                <w:sz w:val="18"/>
                <w:szCs w:val="18"/>
                <w:color w:val="auto"/>
              </w:rPr>
            </w:pPr>
          </w:p>
        </w:tc>
        <w:tc>
          <w:tcPr>
            <w:tcW w:w="9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367,883</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394,596</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geographic region, which are generally based on the location of the Company’s subsidiaries,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500" w:type="dxa"/>
            <w:vAlign w:val="bottom"/>
            <w:tcBorders>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196"/>
        </w:trPr>
        <w:tc>
          <w:tcPr>
            <w:tcW w:w="4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2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178,155</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202,773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117,896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122,406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3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46,066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41,050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25,766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28,367</w:t>
            </w:r>
          </w:p>
        </w:tc>
      </w:tr>
      <w:tr>
        <w:trPr>
          <w:trHeight w:val="230"/>
        </w:trPr>
        <w:tc>
          <w:tcPr>
            <w:tcW w:w="448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367,883</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394,596</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Company’s total assets by segment from the amount disclosed in the Form 10-K for the fiscal year ended June 30, 2025.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should be read in conjunction with the Consolidated Financial Statements and the related Notes thereto for the period ended September 30, 2025 contained in this Quarterly Report on Form 10-Q and our Annual Report on Form 10-K for the fiscal year ended June 30, 2025. Forward-looking statements in this Form 10-Q are qualified by the cautionary statement included in this Form 10-Q under the heading “Forward-Looking Statements” in the introduction of this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baby/kids, beverages and meal preparation are marketed and sold in over 70 countries around the world. The Company operates under two reportable segments: North America and International.</w:t>
      </w:r>
    </w:p>
    <w:p>
      <w:pPr>
        <w:spacing w:after="0" w:line="15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leading brands include Garden Veggie Snacks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 The Board is considering a broad range of strategic options to enhance value. Also, in the third quarter of fiscal year 2025, we announced that we were exploring strategic alternatives regarding our personal care business to focus on our portfolio of better-for-you food and beverages.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2024, we initiated a multi-year growth, transformation and restructuring program (the “Restructuring Program”) intended to drive shareholder returns. The savings initiatives impact our reportable segments and Corporate and Other. The program is intended to optimize our portfolio, improve underlying profitability and increase our flexibility to invest in targeted growth initiatives, brand building and other capabilities critical to delivering future growth.</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of the Restructuring Program is expected to be completed by the end of the 2027 fiscal year. Cumulative pretax charges associated with the Restructuring Program are expected to be $100 million - $110 million comprised of contract termination costs, asset write-downs, employee-related costs and other transformation-related expenses. For the three months ended September 30, 2025, we incurred pretax charges of $14 million of expenses associated with the Restructuring Program, compared to $5 million in the prior year period.</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part of the Restructuring Program, the Company completed the sale of three non-core brands and our investment in a joint venture during fiscal 2024 and fiscal 2025. We also announced the exit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business in Canada, which was completed in the second quarter of fiscal 2026. We initiated actions to consolidate our personal care manufacturing footprint and exit our non-strategic joint venture in India, which were substantially completed in the first quarter of fiscal 2025. The Company also initiated actions to: (i) simplify its distribution footprint in the U.S.; (ii) rationalize certain product categories for greater capacity utilization, cost reduction and margin expansion; and (iii) reduce office space. Annualized pretax savings are expected to be $130 million - $150 million. The gross savings to date reflect operating model savings, productivity delivery and benefits from revenue growth management initiatives, offset by volume deleveraging and input cost inflation.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Environment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 volatility, changing consumer behavior, and geopolitical tensions, particularly the Russia-Ukraine conflict, have driven higher supply chain costs and broader business impacts. Tariffs and potential countermeasures further contribute to industry-wide uncertainty. We continually assess the nature and extent of these potential and evolving impacts on our business, consolidated operational results, liquidity, and capital resources.</w:t>
      </w:r>
    </w:p>
    <w:p>
      <w:pPr>
        <w:spacing w:after="0" w:line="145" w:lineRule="exact"/>
        <w:rPr>
          <w:sz w:val="20"/>
          <w:szCs w:val="20"/>
          <w:color w:val="auto"/>
        </w:rPr>
      </w:pPr>
    </w:p>
    <w:p>
      <w:pPr>
        <w:ind w:right="3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September 30, 2025 to Three Months Ended September 30, 2024 </w:t>
      </w:r>
      <w:r>
        <w:rPr>
          <w:rFonts w:ascii="Times New Roman" w:cs="Times New Roman" w:eastAsia="Times New Roman" w:hAnsi="Times New Roman"/>
          <w:sz w:val="18"/>
          <w:szCs w:val="18"/>
          <w:b w:val="1"/>
          <w:bCs w:val="1"/>
          <w:i w:val="1"/>
          <w:iCs w:val="1"/>
          <w:color w:val="auto"/>
        </w:rPr>
        <w:t>Consolidated Results</w:t>
      </w:r>
    </w:p>
    <w:p>
      <w:pPr>
        <w:spacing w:after="0"/>
        <w:rPr>
          <w:sz w:val="20"/>
          <w:szCs w:val="20"/>
          <w:color w:val="auto"/>
        </w:rPr>
      </w:pPr>
      <w:r>
        <w:rPr>
          <w:rFonts w:ascii="Times New Roman" w:cs="Times New Roman" w:eastAsia="Times New Roman" w:hAnsi="Times New Roman"/>
          <w:sz w:val="18"/>
          <w:szCs w:val="18"/>
          <w:color w:val="auto"/>
        </w:rPr>
        <w:t>The following table compares our results of operations, including as a percentage of net sales, on a consolidated basis,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(dollars in thousands, other than per share amounts and percentages, which may not add due to rounding):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10"/>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367,883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394,596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299,805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312,986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68,078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15,499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 and equity in net loss of</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equity-method investees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-1559560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-1559560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-1559560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-1559560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-1559560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-582295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-582295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-582295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-582295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Percentage is not meaningful due to one or more numbers being negative.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Net sales for the three months ended September 30, 2025 were $367.9 million, a decrease of $26.7 million, or 6.8%, including an unfavorable impact of $12.3 million, or 2.7%, related to held for sale businesses, discontinued brands and exited product categories and a favorable impact of $6.6 million, or 1.7%, from foreign exchange, as compared to the prior year quarter. Organic net sales, defined as net sales adjusted to exclude the impact of foreign exchange, acquisitions, divestitures, discontinued brands and exited product categories, decreased $21.0 million, or 5.8%, from the prior year quarter. The decrease in organic net sales comprised of a 7% decrease in volume/mix, partially offset by a 1% increase in price. The decrease in each of net sales and organic net sales was primarily due to declines in both the North America and International reportable segments. Further details of changes in net sales by segment are provided below in the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section.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September 30, 2025 was $68.1 million, a decrease of $13.5 million, or 16.6%, as compared to the prior year quarter. Gross profit margin for the three months ended September 30, 2025 was 18.5% compared with 20.7% in the prior year quarter.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gross profit was driven primarily by the International reportable segment, mainly due to lower volume/mix and cost inflation, partially offset by productivity savings and trade efficiencies. This decline was partially offset by an increase in gross profit in the North America reportable segment, mainly driven by higher margin due to productivity savings, pricing and trade efficiencies, partially offset by lower volume/mix and cost inflation.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$65.5 million for the three months ended September 30, 2025, a decrease of $5.8 million, or 8.2%, from $71.3 million for the prior year quarter. The decrease was due to lower employee-related and non people cost discipline, as the Company began to implement overhead reduction actions.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Productivity and Transformation Costs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Productivity and transformation costs were $8.2 million for the three months ended September 30, 2025, an increase of $3.2 million, or 63.8%, from $5.0 million in the prior year quarter. The increase was primarily due to higher costs incurred in connection with the Restructuring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Acquired Intangible Assets</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Amortization of acquired intangibles was $1.2 million for the three months ended September 30, 2025, a decrease of $1.0 million from $2.2 million in the prior year quarter, primarily reflecting reduced amortization expenses due to the impairment of the Personal Care tradenames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customer relationships recognized in the second quarter of fiscal 2025. See Note 9,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Notes to the Consolidated Financial Statements included in Item 8 of the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 Income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for the three months ended September 30, 2025 was $6.9 million compared to operating income of $3.1 million in the prior year quarter as a result of the items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Financing Expense, Net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and other financing expense, net totaled $15.5 million for the three months ended September 30, 2025, an increase of $1.8 million, or 12.8%, from $13.7 million in the prior year quarter. The increase resulted primarily due to higher financing fees related to the amendment of our credit agreement.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19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Other income, net totaled $0.7 million for the three months ended September 30, 2025, compared to $5.3 million of other expense, net in the prior year quarter. The change primarily reflected the recognition of a $3.9 million pretax loss on the sale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and higher net unrealized foreign currency losses in the prior year quarter.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 and Equity in Net Loss of Equity-Method Investees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before income taxes and equity in net loss of our equity-method investees for the three months ended September 30, 2025 was $21.7 million compared to $16.0 million in the prior year quarter. The increase in the loss before income taxes and equity in net loss of our equity-method investees was due to the items discussed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 Provision for Income Taxes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(benefit) provision for income taxes includes federal, foreign, state and local income taxes. Our income tax benefit was $1.3 million for the three months ended September 30, 2025 compared to expense of $3.5 million in the prior year quarter.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a benefit of 5.8% and an expense of 22.0% for the three months ended September 30, 2025 and 2024, respectively. The income tax benefit for the three months ended September 30, 2025 reflected foreign tax benefit in certain jurisdictions and an increase in the valuation allowance for both federal and state income taxes. The income tax expense for the three months ended September 30, 2024 reflected foreign tax expense in certain jurisdictions and an increase in the valuation allowance for both federal and state income taxes.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Loss of Equity-Method Investees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loss from our equity-method investments for each of the three months ended September 30, 2025 and September 30, 2024 was a loss of $0.2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September 30, 2025, was $20.6 million, or $0.23 per diluted share, compared to $19.7 million, or $0.22 per diluted share, in the prior year quarter. The increase in net loss was attributable to the factors noted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Adjusted EBITDA was $19.7 million and $22.4 million for the three months ended September 30, 2025 and 2024, respectively, as a result of the factors discussed above. See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for definitions and a reconciliation of our net loss to Adjusted EBITDA.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net sales and Adjusted EBITDA by reportable segment for the three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169"/>
        </w:trPr>
        <w:tc>
          <w:tcPr>
            <w:tcW w:w="44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9/30/25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203,920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163,963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367,883</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9/30/24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231,140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163,456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394,596</w:t>
            </w:r>
          </w:p>
        </w:tc>
      </w:tr>
      <w:tr>
        <w:trPr>
          <w:trHeight w:val="209"/>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(27,220)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(26,713)</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76"/>
        </w:trPr>
        <w:tc>
          <w:tcPr>
            <w:tcW w:w="4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9/30/25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17,009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12,555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19,732</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9/30/24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20,370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22,375</w:t>
            </w:r>
          </w:p>
        </w:tc>
      </w:tr>
      <w:tr>
        <w:trPr>
          <w:trHeight w:val="209"/>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(2,643)</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6"/>
        </w:trPr>
        <w:tc>
          <w:tcPr>
            <w:tcW w:w="19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EBITDA margin</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9/30/25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9/30/24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-1662430</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-1662430</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-1662430</wp:posOffset>
            </wp:positionV>
            <wp:extent cx="94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-830580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-830580</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-830580</wp:posOffset>
            </wp:positionV>
            <wp:extent cx="946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and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 for a reconciliation of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 America</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North America reportable segment for the three months ended September 30, 2025 were $203.9 million, a decrease of $27.2 million, or 11.8%, including an unfavorable impact of $12.4 million or 4.3% related to held for sale businesses, discontinued brands and exited product categories, as compared to the prior year quarter. Organic net sales decreased $14.7 million, or 7.4%, to $185.0 million from $199.7 million in the prior year quarter.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primarily reflected lower net sales in the snacks, personal care, and meal preparation categories, partially offset by higher net sales in the beverages category. The decrease in the snacks category was due to velocity challenges and distribution losses. The decline in the meal preparation category was primarily due to the impact of discontinued brands and exited product categories, while the decline in the personal care category was driven by portfolio simplification initiatives and distribution losses.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organic net sales was primarily due to volume softness in the snacks category, as a result of velocity challenges and distribution losses, partially offset by growth in the beverages, baby &amp; kids and meal preparation categories.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was $17.0 million, an increase of $4.6 million, or 36.5%, from Adjusted EBITDA of $12.5 million in the prior year quarter. The increase was primarily driven by productivity savings, reduction in SG&amp;A expenses, and pricing and trade efficiencies, partially offset by impact of lower volumes and cost inflation. Adjusted EBITDA margin was 8.3%, a 290-basis point increase from the prior year period.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International reportable segment for the three months ended September 30, 2025 were $164.0 million, an increase of $0.5 million, or 0.3%, including a favorable impact of $6.7 million or 4.1% related to foreign exchange, as compared to the prior year quarter. Organic net sales decreased $6.4 million or 3.9% to $156.5 million from $162.9 million the prior year quarter.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sales was primarily due to higher sales in the meal preparation and beverages categories, substantially offset by lower sales in the baby</w:t>
      </w:r>
    </w:p>
    <w:p>
      <w:pPr>
        <w:spacing w:after="0" w:line="27" w:lineRule="exact"/>
        <w:rPr>
          <w:sz w:val="20"/>
          <w:szCs w:val="20"/>
          <w:color w:val="auto"/>
        </w:rPr>
      </w:pPr>
    </w:p>
    <w:p>
      <w:pPr>
        <w:ind w:firstLine="8"/>
        <w:spacing w:after="0" w:line="260"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kids category. The decrease in organic net sales was primarily due to lower sales in the baby &amp; kids category, partially offset by growth in the meal preparation category. The decrease in the baby &amp; kids category was primarily driven by industry-wide volume softness in purees in the U.K.</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was $12.6 million, a decrease of $7.8 million, or 38.4%, from Adjusted EBITDA of $20.4 million in the prior year quarter. The decrease was primarily driven by a decrease in gross profit associated with lower volume/mix and cost inflation, partially offset by productivity savings, pricing and trade efficiencies. Adjusted EBITDA margin was 7.7%, a 480-basis point decrease from the prior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Corporate and Other adjusted EBITDA primarily reflected a reduction in compensation-related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finance our operations and growth primarily with the cash flows we generate from our operations and from borrowings available to us under our Credit Agreement (as defined below). We believe that our cash flows from operations and borrowing capacity under our Credit Agreement will be adequate to meet anticipated operating and other expenditures for the foreseeable future.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 million in the aggregate, consisting of (1) $300.0 million in aggregate principal amount of term loans (the “Term Loans”) and (2) an $800.0 million senior secured revolving credit facility (which includes borrowing capacity available for letters of credit, and was originally comprised of a $440.0 million U.S. revolving credit facility and $360.0 million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until June 30, 2025 and is 5.50:1.00 for the quarter ending September 30, 2025 and thereafter. Pursuant to the Credit Agreement, the Company’s maximum consolidated leverage ratio is 6.00:1.00 and, through June 30, 2025, its minimum interest coverage ratio was 2.50:1.00.</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Company’s consolidated secured leverage ratio, consolidated leverage ratio and consolidated interest coverage ratio were 4.81:1.00, 4.81:1.00 and 2.92:1.00, respectively, and the Company was in compliance with all associated covenants. The aforementioned financial covenants are being reported as calculated under the Credit Agreement and not pursuant to generally accepted accounting principles in the U.S. (“GAAP”). Please refer to the Credit Agreement and amendments filed as exhibits to our periodic reports for further information related to the calculation thereof. For risks related to our indebtedness and compliance with these covenants, please refer to the risk factor “Any default under our credit agreement or inability to refinance our indebtedness could have significant consequences” set forth in Part I, Item 1A, “Risk Factors” of our Form 10-K for the fiscal year ended June 30, 2025.</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 million to $700.0 million in the aggregate, with the U.S. revolving credit facility reduced from $440.0 million to $385.0 million and the global revolving credit facility reduced from $360.0 million to $315.0 million.</w:t>
      </w:r>
    </w:p>
    <w:p>
      <w:pPr>
        <w:spacing w:after="0" w:line="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 million for the quarter ending September 30, 2025 and (ii) $52.0 million for the cumulative two quarters ending September 30, 2025 and on December 31, 2025. The aforementioned financial covenants use financial measures that are defined under the Credit Agreement and not pursuant to GAAP.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 million to $600.0 million in the aggregate, with the U.S. revolving credit facility reduced from $385.0 million to $330.0 million and the global revolving credit facility reduced from $315.0 million to $270.0 million.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September 30, 2025 was 7.78%. The Company uses interest rate swaps to hedge a portion of the interest rate risk related to its outstanding variable rate debt. As of September 30, 2025, the notional amount of the interest rate swaps was $400,000 with fixed rate payments of 7.12%. Including the impact of hedges, the weighted average interest rate on outstanding borrowings under the Credit Agreement at September 30, 2025 was 7.31%. Additionally, the Credit Agreement contains a commitment fee of 0.25% per annum on the amount unused under the Credit Agreement.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there were $464.0 million of loans outstanding under the Revolver, $253.7 million of outstanding Term Loans, and $2.7 million of letters of credit outstanding under the Credit Agreement. As of September 30, 2025 and June 30, 2025, $133.3 million and $246.7 million, respectively, was available under the Credit Agreement, subject to compliance with the financial covenants. As of September 30, 2025, the Company was in compliance with all associated covenants.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balance decreased by $6.5 million at September 30, 2025 to $47.9 million as compared to $54.4 million at June 30, 2025. Our working capital was $246.2 million at September 30, 2025, a decrease of $6.7 million from $252.9 million at the end of fiscal 2025. Additionally, our total debt increased by $11.4 million at September 30, 2025 to $716.2 million as compared to $704.8 million at June 30, 2025 as a result of an increase in net borrowings during the period.</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the U.S., U.K., Canada, Western Europe, the Middle East and India. As of September 30, 2025, substantially all cash was held outside the U.S.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our cash and cash equivalents primarily in money market funds or their equivalent. Accordingly, we do not believe that our investments have significant exposure to interest rate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(Used in) Provided by Operating, Investing and Financing Activities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246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09"/>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190"/>
        </w:trPr>
        <w:tc>
          <w:tcPr>
            <w:tcW w:w="2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Cash flows (used in) provided by:</w:t>
            </w:r>
          </w:p>
        </w:tc>
        <w:tc>
          <w:tcPr>
            <w:tcW w:w="368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16"/>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2,307</w:t>
            </w:r>
          </w:p>
        </w:tc>
      </w:tr>
      <w:tr>
        <w:trPr>
          <w:trHeight w:val="216"/>
        </w:trPr>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r>
      <w:tr>
        <w:trPr>
          <w:trHeight w:val="216"/>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13,242</w:t>
            </w:r>
          </w:p>
        </w:tc>
      </w:tr>
      <w:tr>
        <w:trPr>
          <w:trHeight w:val="216"/>
        </w:trPr>
        <w:tc>
          <w:tcPr>
            <w:tcW w:w="6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11,222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r>
      <w:tr>
        <w:trPr>
          <w:trHeight w:val="209"/>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r>
      <w:tr>
        <w:trPr>
          <w:trHeight w:val="20"/>
        </w:trPr>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$8.5 million for the three months ended September 30, 2025, a decrease of $2.3 million from cash used in operating activities of $10.8 million in the prior year period. This decrease in cash used in operating activities versus the prior year period resulted primarily from lower cash utilization of $5.0 million for our working capital accounts which was mainly due to focused inventory management, which generated year-over-year improvement of $13.9 million and resulted in an increased benefit from accounts payable and accrued expenses in the amount of $7.9 million, partially offset by a decrease in accounts receivable recovery of $11.8 million as well as an increase of $2.7 million in net loss adjusted for non-cash charges.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Cash used in investing activities was $5.2 million for the three months ended September 30, 2025, a change of $11.5 million from cash provided by investing activities of $6.3 million in the prior year period. The net change was primarily due to the receipt of proceeds from the sale of ParmCrisps of $12.0 million in the prior year and lower capital expenditures in the three months ended September 30, 2025 due to phasing of capital projects. See Note 5, </w:t>
      </w:r>
      <w:r>
        <w:rPr>
          <w:rFonts w:ascii="Times New Roman" w:cs="Times New Roman" w:eastAsia="Times New Roman" w:hAnsi="Times New Roman"/>
          <w:sz w:val="18"/>
          <w:szCs w:val="18"/>
          <w:i w:val="1"/>
          <w:iCs w:val="1"/>
          <w:color w:val="auto"/>
        </w:rPr>
        <w:t>Disposition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$9.0 million for the three months ended September 30, 2025, a change of $13.2 million compared to cash used in financing activities of $4.2 million in the prior year period. The increase in cash used in financing activities was primarily due to higher net debt borrowings during the three months ended September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free cash flow was negative $13.7 million for the three months ended September 30, 2025, an improvement of $2.8 million from negative free cash flow of $16.5 million in the three months ended September 30, 2024. The period-over-period change resulted primarily from a decrease in cash flows used in operations of $2.3 million driven by the reasons explained above, and lower capital expenditures of $0.5 million. See Reconciliation of Non-U.S. GAAP Financial Measures to U.S. GAAP Measures following the discussion of our results of operations for definitions and a reconciliation from our net cash used in operating activities to free cash flow.</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three months ended September 30, 2025, the Company did not repurchase any shares under the repurchase program. As of September 30, 2025, the Company had $173.5 million of remaining authorization under the share repurchase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Non-U.S. GAAP Financial Measures to U.S. GAAP Measures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to investors and include these measures in other communications to investors.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of these non-U.S. GAAP financial measures, we are providing below a reconciliation of the differences between the non-U.S. GAAP measure and the most directly comparable U.S. GAAP measure, an explanation of why our management and Board of Directors believe the non-U.S. GAAP measure provides useful information to investors and any additional purposes for which our management and Board of Directors use the non-U.S. GAAP measures. These non-U.S. GAAP measures should be viewed in addition to, and not in lieu of, the comparable U.S. GAAP measures.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Organic Net Sales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we define organic net sales as net sales excluding the impact of acquisitions, divestitures, discontinued brands and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between reported net sales and organic net sales is as follows: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Hain</w:t>
            </w: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 Three months ended September 30,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203,920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163,963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367,883</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held for sale businesses, discontinued brands and exited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24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19,828</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6,718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 Three months ended September 30,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184,978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156,517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341,495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sales - Three months ended September 30,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231,140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163,456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394,596</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32,079</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 Three months ended September 30,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199,663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162,854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362,517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-1019810</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-1019810</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-307975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-307975</wp:posOffset>
            </wp:positionV>
            <wp:extent cx="94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sales decline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net sales decline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946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94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Adjusted EBITDA as net loss before net interest expense, income taxes, depreciation and amortization, equity in net loss of equity-method investees, stock-based compensation, net, unrealized currency losses, certain litigation expenses, net, plant closure related costs, net, productivity and transformation costs, costs associated with acquisitions, divestitures and other transactions, (gain) loss on sale of assets, long-lived asset impairment and other adjustments. 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 Adjusted EBITDA is a non-U.S. GAAP measure and may not be comparable to similarly titled measures reported by other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U.S.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U.S. GAAP results.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net loss to Adjusted EBITDA is as follows: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7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16"/>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11,427</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12,995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currency losses</w:t>
            </w: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7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(a)</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5,018</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22,375</w:t>
            </w:r>
          </w:p>
        </w:tc>
      </w:tr>
      <w:tr>
        <w:trPr>
          <w:trHeight w:val="20"/>
        </w:trPr>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Expenses and items relating to securities class action and baby food litigation and SEC investigation.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internal evaluations, we use the non-GAAP financial measure “Free Cash Flow.” The difference between Free Cash Flow and cash flows used in or provided by operating activities, which is the most comparable U.S. GAAP financial measure, is that Free Cash Flow reflects the impact of purchases of property, plant and equipment (capital spending). Since capital spending is essential to maintaining our operational capabilities, we believe that it is a recurring and necessary use of cash. As such, we believe investors should also consider capital spending when evaluating our cash flows provided by or used in operating activities. We view Free Cash Flow as an important measure because it is one factor in evaluating the amount of cash available for discretionary investments. We do not consider Free Cash Flow in isolation or as an alternative to financial measures determined in accordance with U.S. GAAP.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cash flows (used in) provided by operating activities to Free Cash Flow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w:t>
            </w:r>
          </w:p>
        </w:tc>
      </w:tr>
      <w:tr>
        <w:trPr>
          <w:trHeight w:val="710"/>
        </w:trPr>
        <w:tc>
          <w:tcPr>
            <w:tcW w:w="434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16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371"/>
        </w:trPr>
        <w:tc>
          <w:tcPr>
            <w:tcW w:w="43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-736600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-719455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policies that have been identified as critical to our business operations and to understanding the results of our operations pertain to variable consideration, valuation of long-lived assets, goodwill and intangible assets, stock-based compensation and valuation allowances for deferred tax assets. The application of each of these critical accounting policies and estimates is discussed in Part II,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of our Annual Report on Form 10-K for the fiscal year ended June 30, 2025, from which there have been no material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providing the below update regarding goodwill.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each quarter subsequent to our annual impairment assessment,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 among others.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goodwill associated with the U.S. and U.K. reporting units had a carrying value of $312,321 and $114,021, respectively. The goodwill related to the U.S. and U.K. reporting units are at risk of potential impairment if the fair value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 We monitor our reporting units at risk of impairment for interim impairment indicators.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2025, we considered our market capitalization and our net book value and performed a market capitalization reconciliation with the expectation that the market capitalization should reconcile within a reasonable range to the sum of the fair values of the Company's individual reporting units. Upon performing the market capitalization reconciliation, we noted a reasonable reconciliation between the sum of the reporting unit fair values and the Company’s market capitalization once adjusted for the impact of corporate costs not allocated to the reporting units. Refer to the critical accounting policies and estimates section included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our Annual Report on Form 10-K for the fiscal year ended June 30, 2025.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9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North America reportable segment and have a remaining aggregate carrying value of $8,000 and $11,800, respectively, as of September 30, 2025. The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tradenames remain at risk of impairment in future periods in the event of unfavorable changes in assumptions, including forecasted future cashflows based on execution of strategic initiatives for increasing revenue, as well as discount rates and other macroeconomic factors.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1320"/>
        <w:spacing w:after="0" w:line="453" w:lineRule="auto"/>
        <w:rPr>
          <w:sz w:val="20"/>
          <w:szCs w:val="20"/>
          <w:color w:val="auto"/>
        </w:rPr>
      </w:pPr>
      <w:r>
        <w:rPr>
          <w:rFonts w:ascii="Times New Roman" w:cs="Times New Roman" w:eastAsia="Times New Roman" w:hAnsi="Times New Roman"/>
          <w:sz w:val="18"/>
          <w:szCs w:val="18"/>
          <w:color w:val="auto"/>
        </w:rPr>
        <w:t xml:space="preserve">Refer to Note 2, Basis of Presentation, in the Notes to the Consolidated Financial Statements included in Part I, Item 1 of this Form 10-Q. </w:t>
      </w:r>
      <w:r>
        <w:rPr>
          <w:rFonts w:ascii="Times New Roman" w:cs="Times New Roman" w:eastAsia="Times New Roman" w:hAnsi="Times New Roman"/>
          <w:sz w:val="18"/>
          <w:szCs w:val="18"/>
          <w:b w:val="1"/>
          <w:bCs w:val="1"/>
          <w:color w:val="auto"/>
        </w:rPr>
        <w:t>Seasonality</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product lines have seasonal fluctuations in demand. Hot tea and soup sales are stronger in colder months, while sales of snack foods are stronger in the warmer months. As such, our results of operations and our cash flows for any particular quarter are not indicative of the results we expect for the full year, and our historical seasonality may not be indicative of future quarterly results of operations. Historically, net sales and profitability in the first fiscal quarter have typically been the lowest of our four quarters.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market risk from those addressed in the Company’s Annual Report on Form 10-K for the fiscal year ended June 30, 2025, during the three months ended September 30, 2025. See the information set forth in Part II, Item 7A, Quantitative and Qualitative Disclosures About Market Risk, of the Company’s Annual Report on Form 10-K for the fiscal year ended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Interim Chief Executive Officer (“CEO”) and Chief Financial Officer (“CFO”), with the assistance of other members of management, have performed an evaluation of the effectiveness of our disclosure controls and procedures (as defined in Rules 13a-15(e) and 15d-15(e) under the Exchange Act) as of the end of the period covered by this report. Based on this evaluation, our CEO and CFO have concluded that, as of September 30, 2025, the Company’s disclosure controls and procedures were not effective due to the material weakness identified and described in Item 9A of our Annual Report on Form 10-K for the fiscal year ended June 30,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 and based on the additional analyses and other procedures to ensure that our consolidated financial statements were prepared in accordance with U.S. GAAP, our management believes that the consolidated financial statements included in this Quarterly Report on Form 10-Q fairly present, in all material respects, our financial condition, results of operations and cash flows as of the dates, and for the periods presented, in conformity with U.S. GAAP.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improving its policies and procedures relating to the design and operating effectiveness of controls to review on a timely basis and in sufficient detail the projected financial information and certain key assumptions and underlying calculations used in goodwill and indefinite-lived intangible asset quantitative impairment tests.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taking actions to implement new or enhance existing controls and procedures to ensure proper and timely review of business activities impacting the projected financial information and certain key assumptions and underlying calculations used in preparing goodwill and indefinite-lived intangible asset quantitative impairment tests. The material weaknesses will be considered remediated when the applicable remedial controls operate for a sufficient period of time and management has concluded, through testing, that these controls are operating effectively. We anticipate that the remediation will occur by the end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fiscal 2026. We continue to monitor the design and operation of these remedial measures through the date of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actions taken under “Remediation Plan for Material Weaknesses in Internal Control over Financial Reporting” discussed above, there were no changes in our internal controls over financial reporting that occurred during the three months ended September 30, 2025 that materially affected, or are reasonably likely to materially affect, our internal control over financial reporting.</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discussion of the material factors contained in the section entitled “Risk Factors” in the Company’s Annual Report on Form 10-K for the fiscal year ended June 30, 2025, filed with the SEC on September 15,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there were no shares repurchased under share repurchase programs approved by the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there were 33,090 shares withheld by the Company to satisfy tax withholding obligations in connection with shares issued under stock-based compensation plans, at an average price of $1.72 per share. These shares withheld to satisfy tax withholding obligations do not constitute repurchases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 and Non-Rule 10b5-1 Trading Arrangements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18, 2025, Carlyn R. Taylor, a member of the Company’s Board of Directors, entered into a trading plan intended to satisfy the affirmative defense conditions of Rule 10b5-1(c) under the Securities Exchange Act of 1934, as amended. The trading plan provides for the sale of an aggregate of up to 53,957 shares of the Company’s common stock for personal tax planning purposes. The plan will terminate on December 31, 2025, subject to possible early termination for certain specified events set forth in the plan.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47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4.1</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88265</wp:posOffset>
            </wp:positionV>
            <wp:extent cx="61633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344"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Restated Certificate of Incorporation (incorporated by reference to Exhibit 3.1 of the Company’s Annual Report on Form 10-K for</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the fiscal year ended June 30, 2021, filed with the SEC on August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6096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0966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-48260</wp:posOffset>
            </wp:positionV>
            <wp:extent cx="35096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196"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The Hain Celestial Group, Inc. Amended and Restated By-Laws (incorporated by reference to Exhibit 3.2 of the Company’s</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Quarterly Report on Form 10-Q for the fiscal quarter ended December 31, 2024, filed with the SEC on February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60972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0972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-48260</wp:posOffset>
            </wp:positionV>
            <wp:extent cx="56286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5628640" cy="8255"/>
                    </a:xfrm>
                    <a:prstGeom prst="rect">
                      <a:avLst/>
                    </a:prstGeom>
                    <a:noFill/>
                  </pic:spPr>
                </pic:pic>
              </a:graphicData>
            </a:graphic>
          </wp:anchor>
        </w:drawing>
      </w:r>
    </w:p>
    <w:p>
      <w:pPr>
        <w:spacing w:after="0" w:line="196"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Specimen of common stock certificate (incorporated by reference to Exhibit 4.1 of Amendment No. 1 to the Company’s Registration</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Statement on Form S-4 filed with the SEC on April 24,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60960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60960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-48260</wp:posOffset>
            </wp:positionV>
            <wp:extent cx="28467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2846705" cy="8890"/>
                    </a:xfrm>
                    <a:prstGeom prst="rect">
                      <a:avLst/>
                    </a:prstGeom>
                    <a:noFill/>
                  </pic:spPr>
                </pic:pic>
              </a:graphicData>
            </a:graphic>
          </wp:anchor>
        </w:drawing>
      </w:r>
    </w:p>
    <w:p>
      <w:pPr>
        <w:spacing w:after="0" w:line="74"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Second Amendment to The Hain Celestial Group, Inc. 2022 Long Term Incentive and Stock Award Plan (incorporated by reference</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to Exhibit 10.1 of the Company’s Current Report on Form 8-K filed with the SEC on November 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6062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60629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-48260</wp:posOffset>
            </wp:positionV>
            <wp:extent cx="48393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4839335"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1380" w:space="200"/>
            <w:col w:w="9660"/>
          </w:cols>
          <w:pgMar w:left="320" w:top="117" w:right="339" w:bottom="1440" w:gutter="0" w:footer="0" w:header="0"/>
        </w:sectPr>
      </w:pPr>
    </w:p>
    <w:tbl>
      <w:tblPr>
        <w:tblLayout w:type="fixed"/>
        <w:tblInd w:w="4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600" w:type="dxa"/>
            <w:vAlign w:val="bottom"/>
            <w:gridSpan w:val="9"/>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Fourth Amendment, dated September 11, 2025, to the Fourth Amended and Restated Credit Agreement,</w:t>
              </w:r>
            </w:hyperlink>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10.2</w:t>
            </w:r>
          </w:p>
        </w:tc>
        <w:tc>
          <w:tcPr>
            <w:tcW w:w="75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dated December 22, 2021, by and among the Company, the Lenders party thereto and Bank of America,</w:t>
              </w:r>
            </w:hyperlink>
          </w:p>
        </w:tc>
        <w:tc>
          <w:tcPr>
            <w:tcW w:w="2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9600" w:type="dxa"/>
            <w:vAlign w:val="bottom"/>
            <w:gridSpan w:val="9"/>
            <w:vMerge w:val="restart"/>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N.A., as administrative agent (incorporated by reference to Exhibit 10.1.5 to the Company’s Annual Report</w:t>
              </w:r>
            </w:hyperlink>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9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74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on Form 10-K for the fiscal year ended June 30, 2025, filed with the SEC on September 15, 2025).</w:t>
              </w:r>
            </w:hyperlink>
          </w:p>
        </w:tc>
        <w:tc>
          <w:tcPr>
            <w:tcW w:w="1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rPr>
              <w:t>10.3*</w:t>
            </w:r>
          </w:p>
        </w:tc>
        <w:tc>
          <w:tcPr>
            <w:tcW w:w="9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Separation Agreement, dated August 1, 2025, between the Company and Chad Marquardt (incorporated by reference to Exhibit 10.9</w:t>
              </w:r>
            </w:hyperlink>
          </w:p>
        </w:tc>
        <w:tc>
          <w:tcPr>
            <w:tcW w:w="0" w:type="dxa"/>
            <w:vAlign w:val="bottom"/>
          </w:tcPr>
          <w:p>
            <w:pPr>
              <w:spacing w:after="0"/>
              <w:rPr>
                <w:sz w:val="1"/>
                <w:szCs w:val="1"/>
                <w:color w:val="auto"/>
              </w:rPr>
            </w:pPr>
          </w:p>
        </w:tc>
      </w:tr>
      <w:tr>
        <w:trPr>
          <w:trHeight w:val="128"/>
        </w:trPr>
        <w:tc>
          <w:tcPr>
            <w:tcW w:w="1140" w:type="dxa"/>
            <w:vAlign w:val="bottom"/>
            <w:vMerge w:val="continue"/>
          </w:tcPr>
          <w:p>
            <w:pPr>
              <w:spacing w:after="0"/>
              <w:rPr>
                <w:sz w:val="11"/>
                <w:szCs w:val="11"/>
                <w:color w:val="auto"/>
              </w:rPr>
            </w:pPr>
          </w:p>
        </w:tc>
        <w:tc>
          <w:tcPr>
            <w:tcW w:w="9600" w:type="dxa"/>
            <w:vAlign w:val="bottom"/>
            <w:gridSpan w:val="9"/>
            <w:vMerge w:val="restart"/>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to the Company’s Annual Report on Form 10-K for the fiscal year ended June 30, 2025, filed with the SEC on September 15, 2025).</w:t>
              </w:r>
            </w:hyperlink>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9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9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Interim Chief Executive Officer pursuant to Rule 13a-14(a) and Rule 15d-14(a) of the Securities Exchange Act, as</w:t>
            </w:r>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7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20" w:type="dxa"/>
            <w:vAlign w:val="bottom"/>
            <w:vMerge w:val="restart"/>
          </w:tcPr>
          <w:p>
            <w:pPr>
              <w:spacing w:after="0"/>
              <w:rPr>
                <w:sz w:val="11"/>
                <w:szCs w:val="11"/>
                <w:color w:val="auto"/>
              </w:rPr>
            </w:pPr>
          </w:p>
        </w:tc>
        <w:tc>
          <w:tcPr>
            <w:tcW w:w="888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40" w:type="dxa"/>
            <w:vAlign w:val="bottom"/>
          </w:tcPr>
          <w:p>
            <w:pPr>
              <w:spacing w:after="0"/>
              <w:rPr>
                <w:sz w:val="5"/>
                <w:szCs w:val="5"/>
                <w:color w:val="auto"/>
              </w:rPr>
            </w:pPr>
          </w:p>
        </w:tc>
        <w:tc>
          <w:tcPr>
            <w:tcW w:w="7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8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11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5"/>
              </w:rPr>
              <w:t>31.2</w:t>
            </w:r>
          </w:p>
        </w:tc>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as amended.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5"/>
              </w:rPr>
              <w:t>32.1</w:t>
            </w:r>
          </w:p>
        </w:tc>
        <w:tc>
          <w:tcPr>
            <w:tcW w:w="9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by Interim Chief Executive Officer pursuant to 18 U.S.C. Section 1350, as adopted pursuant to Section 906 of the</w:t>
            </w:r>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21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vMerge w:val="restart"/>
          </w:tcPr>
          <w:p>
            <w:pPr>
              <w:spacing w:after="0"/>
              <w:rPr>
                <w:sz w:val="11"/>
                <w:szCs w:val="11"/>
                <w:color w:val="auto"/>
              </w:rPr>
            </w:pPr>
          </w:p>
        </w:tc>
        <w:tc>
          <w:tcPr>
            <w:tcW w:w="748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2100" w:type="dxa"/>
            <w:vAlign w:val="bottom"/>
            <w:tcBorders>
              <w:bottom w:val="single" w:sz="8" w:color="0000FF"/>
            </w:tcBorders>
            <w:gridSpan w:val="3"/>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7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88"/>
              </w:rPr>
              <w:t>32.2</w:t>
            </w:r>
          </w:p>
        </w:tc>
        <w:tc>
          <w:tcPr>
            <w:tcW w:w="9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4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vMerge w:val="restart"/>
          </w:tcPr>
          <w:p>
            <w:pPr>
              <w:spacing w:after="0"/>
              <w:rPr>
                <w:sz w:val="11"/>
                <w:szCs w:val="11"/>
                <w:color w:val="auto"/>
              </w:rPr>
            </w:pPr>
          </w:p>
        </w:tc>
        <w:tc>
          <w:tcPr>
            <w:tcW w:w="8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80" w:type="dxa"/>
            <w:vAlign w:val="bottom"/>
          </w:tcPr>
          <w:p>
            <w:pPr>
              <w:spacing w:after="0"/>
              <w:rPr>
                <w:sz w:val="5"/>
                <w:szCs w:val="5"/>
                <w:color w:val="auto"/>
              </w:rPr>
            </w:pPr>
          </w:p>
        </w:tc>
        <w:tc>
          <w:tcPr>
            <w:tcW w:w="14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8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101.INS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101.SCH</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0" w:lineRule="exact"/>
        <w:rPr>
          <w:sz w:val="20"/>
          <w:szCs w:val="20"/>
          <w:color w:val="auto"/>
        </w:rPr>
      </w:pPr>
    </w:p>
    <w:p>
      <w:pPr>
        <w:sectPr>
          <w:pgSz w:w="11900" w:h="16838" w:orient="portrait"/>
          <w:cols w:equalWidth="0" w:num="2">
            <w:col w:w="980" w:space="600"/>
            <w:col w:w="9660"/>
          </w:cols>
          <w:pgMar w:left="320" w:top="117" w:right="339" w:bottom="1440" w:gutter="0" w:footer="0" w:header="0"/>
          <w:type w:val="continuous"/>
        </w:sectPr>
      </w:pPr>
    </w:p>
    <w:p>
      <w:pPr>
        <w:spacing w:after="0" w:line="7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252" w:lineRule="exact"/>
        <w:rPr>
          <w:sz w:val="20"/>
          <w:szCs w:val="20"/>
          <w:color w:val="auto"/>
        </w:rPr>
      </w:pPr>
    </w:p>
    <w:p>
      <w:pPr>
        <w:ind w:right="3080" w:firstLine="514"/>
        <w:spacing w:after="0" w:line="516" w:lineRule="auto"/>
        <w:tabs>
          <w:tab w:leader="none" w:pos="15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*Indicates management contract or compensatory plan or arrangement.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w:t>
      </w:r>
    </w:p>
    <w:p>
      <w:pPr>
        <w:sectPr>
          <w:pgSz w:w="11900" w:h="16838" w:orient="portrait"/>
          <w:cols w:equalWidth="0" w:num="1">
            <w:col w:w="11240"/>
          </w:cols>
          <w:pgMar w:left="320" w:top="117" w:right="339" w:bottom="1440"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solely within the specific context of the relevant agreement or document and may not describe the actual state of affairs as of the date they were made or at any other time.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tc>
      </w:tr>
      <w:tr>
        <w:trPr>
          <w:trHeight w:val="243"/>
        </w:trPr>
        <w:tc>
          <w:tcPr>
            <w:tcW w:w="7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73"/>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7, 2025</w:t>
            </w:r>
          </w:p>
        </w:tc>
        <w:tc>
          <w:tcPr>
            <w:tcW w:w="176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Alison E. Lewis</w:t>
            </w:r>
          </w:p>
        </w:tc>
      </w:tr>
      <w:tr>
        <w:trPr>
          <w:trHeight w:val="180"/>
        </w:trPr>
        <w:tc>
          <w:tcPr>
            <w:tcW w:w="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Alison E. Lewis,</w:t>
            </w:r>
          </w:p>
        </w:tc>
      </w:tr>
      <w:tr>
        <w:trPr>
          <w:trHeight w:val="203"/>
        </w:trPr>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Interim President and Chief Executive Officer</w:t>
            </w: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r>
        <w:trPr>
          <w:trHeight w:val="424"/>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7, 2025</w:t>
            </w:r>
          </w:p>
        </w:tc>
        <w:tc>
          <w:tcPr>
            <w:tcW w:w="176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Lee A. Boyce</w:t>
            </w:r>
          </w:p>
        </w:tc>
      </w:tr>
      <w:tr>
        <w:trPr>
          <w:trHeight w:val="180"/>
        </w:trPr>
        <w:tc>
          <w:tcPr>
            <w:tcW w:w="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Lee A. Boyce,</w:t>
            </w:r>
          </w:p>
        </w:tc>
      </w:tr>
      <w:tr>
        <w:trPr>
          <w:trHeight w:val="203"/>
        </w:trPr>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r>
        <w:trPr>
          <w:trHeight w:val="370"/>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7, 2025</w:t>
            </w:r>
          </w:p>
        </w:tc>
        <w:tc>
          <w:tcPr>
            <w:tcW w:w="176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Ragusa</w:t>
            </w:r>
          </w:p>
        </w:tc>
      </w:tr>
      <w:tr>
        <w:trPr>
          <w:trHeight w:val="180"/>
        </w:trPr>
        <w:tc>
          <w:tcPr>
            <w:tcW w:w="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Michael J. Ragusa,</w:t>
            </w:r>
          </w:p>
        </w:tc>
      </w:tr>
      <w:tr>
        <w:trPr>
          <w:trHeight w:val="203"/>
        </w:trPr>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Senior Vice President and</w:t>
            </w:r>
          </w:p>
        </w:tc>
      </w:tr>
      <w:tr>
        <w:trPr>
          <w:trHeight w:val="203"/>
        </w:trPr>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Accounting Officer</w:t>
            </w: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tc>
      </w:tr>
      <w:tr>
        <w:trPr>
          <w:trHeight w:val="735"/>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340" w:type="dxa"/>
            <w:vAlign w:val="bottom"/>
            <w:gridSpan w:val="2"/>
          </w:tcPr>
          <w:p>
            <w:pPr>
              <w:jc w:val="right"/>
              <w:ind w:right="5436"/>
              <w:spacing w:after="0"/>
              <w:rPr>
                <w:sz w:val="20"/>
                <w:szCs w:val="20"/>
                <w:color w:val="auto"/>
              </w:rPr>
            </w:pPr>
            <w:r>
              <w:rPr>
                <w:rFonts w:ascii="Times New Roman" w:cs="Times New Roman" w:eastAsia="Times New Roman" w:hAnsi="Times New Roman"/>
                <w:sz w:val="18"/>
                <w:szCs w:val="18"/>
                <w:color w:val="auto"/>
              </w:rPr>
              <w:t>49</w:t>
            </w:r>
          </w:p>
        </w:tc>
      </w:tr>
      <w:tr>
        <w:trPr>
          <w:trHeight w:val="358"/>
        </w:trPr>
        <w:tc>
          <w:tcPr>
            <w:tcW w:w="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E. Lewis, certify that:</w:t>
      </w:r>
    </w:p>
    <w:p>
      <w:pPr>
        <w:spacing w:after="0" w:line="33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Hain Celestial Group,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60" w:right="20" w:hanging="504"/>
        <w:spacing w:after="0" w:line="266"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Alison E. Lewis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A. Boyce, certify that:</w:t>
      </w:r>
    </w:p>
    <w:p>
      <w:pPr>
        <w:spacing w:after="0" w:line="333"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Hain Celestial Group,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60" w:right="20" w:hanging="504"/>
        <w:spacing w:after="0" w:line="266"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A. Boyce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FURNISHED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Alison E. Lewis, Interim President and Chief Executive Officer of The Hain Celestial Group, Inc. (the “Company”), certify, pursuant to Section 906 of the Sarbanes-Oxley Act of 2002, 18 U.S.C. Section 1350, that to my knowledge:</w:t>
      </w:r>
    </w:p>
    <w:p>
      <w:pPr>
        <w:spacing w:after="0" w:line="270"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2025 (the “Report”) fully complies with the requirements of Section 13(a)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Alison E. Lewis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FURNISHED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Lee A. Boyce, Executive Vice President and Chief Financial Officer of The Hain Celestial Group, Inc. (the “Company”), certify, pursuant to Section 906 of the Sarbanes-Oxley Act of 2002, 18 U.S.C. Section 1350, that to my knowledge:</w:t>
      </w:r>
    </w:p>
    <w:p>
      <w:pPr>
        <w:spacing w:after="0" w:line="270"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2025 (the “Report”) fully complies with the requirements of Section 13(a)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A. Boyce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5"/>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amp;"/>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44" Type="http://schemas.openxmlformats.org/officeDocument/2006/relationships/hyperlink" Target="https://www.sec.gov/Archives/edgar/data/910406/000091040621000033/exh31-restatedcertificateo.htm" TargetMode="External"/><Relationship Id="rId247" Type="http://schemas.openxmlformats.org/officeDocument/2006/relationships/hyperlink" Target="https://www.sec.gov/Archives/edgar/data/910406/000095017025017025/hain-ex3_2.htm" TargetMode="External"/><Relationship Id="rId250" Type="http://schemas.openxmlformats.org/officeDocument/2006/relationships/hyperlink" Target="https://www.sec.gov/Archives/edgar/data/910406/0000912057-00-019377-index.html" TargetMode="External"/><Relationship Id="rId253" Type="http://schemas.openxmlformats.org/officeDocument/2006/relationships/hyperlink" Target="https://www.sec.gov/Archives/edgar/data/910406/000119312525265805/hain-ex10_1.htm" TargetMode="External"/><Relationship Id="rId256" Type="http://schemas.openxmlformats.org/officeDocument/2006/relationships/hyperlink" Target="https://www.sec.gov/Archives/edgar/data/910406/000119312525203534/hain-ex10_1-5.htm" TargetMode="External"/><Relationship Id="rId257" Type="http://schemas.openxmlformats.org/officeDocument/2006/relationships/hyperlink" Target="https://www.sec.gov/Archives/edgar/data/910406/000119312525203534/hain-ex10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2025-11-07T15:25:51Z</dcterms:created>
  <dcterms:modified xsi:type="dcterms:W3CDTF">2025-11-07T15:25:51Z</dcterms:modified>
</cp:coreProperties>
</file>