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18,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5715</wp:posOffset>
            </wp:positionV>
            <wp:extent cx="102870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THE HAIN CELESTIAL GROUP,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320" w:top="985" w:right="379" w:bottom="1440" w:gutter="0" w:footer="0" w:header="0"/>
        </w:sectPr>
      </w:pPr>
    </w:p>
    <w:p>
      <w:pPr>
        <w:spacing w:after="0" w:line="46"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0-22818</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22-3240619</w:t>
      </w:r>
    </w:p>
    <w:p>
      <w:pPr>
        <w:spacing w:after="0" w:line="50" w:lineRule="exact"/>
        <w:rPr>
          <w:sz w:val="24"/>
          <w:szCs w:val="24"/>
          <w:color w:val="auto"/>
        </w:rPr>
      </w:pPr>
    </w:p>
    <w:p>
      <w:pPr>
        <w:sectPr>
          <w:pgSz w:w="11900" w:h="16838" w:orient="portrait"/>
          <w:cols w:equalWidth="0" w:num="3">
            <w:col w:w="4640" w:space="720"/>
            <w:col w:w="2820" w:space="720"/>
            <w:col w:w="2300"/>
          </w:cols>
          <w:pgMar w:left="320" w:top="985" w:right="37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4" w:lineRule="exact"/>
        <w:rPr>
          <w:sz w:val="24"/>
          <w:szCs w:val="24"/>
          <w:color w:val="auto"/>
        </w:rPr>
      </w:pPr>
    </w:p>
    <w:p>
      <w:pPr>
        <w:sectPr>
          <w:pgSz w:w="11900" w:h="16838" w:orient="portrait"/>
          <w:cols w:equalWidth="0" w:num="3">
            <w:col w:w="3940" w:space="720"/>
            <w:col w:w="2660" w:space="720"/>
            <w:col w:w="3160"/>
          </w:cols>
          <w:pgMar w:left="320" w:top="985" w:right="37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of incorporation)</w:t>
      </w: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1111 Marcus Avenue, Lake Success, NY 11042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 including zip code)</w:t>
      </w:r>
    </w:p>
    <w:p>
      <w:pPr>
        <w:sectPr>
          <w:pgSz w:w="11900" w:h="16838" w:orient="portrait"/>
          <w:cols w:equalWidth="0" w:num="1">
            <w:col w:w="11200"/>
          </w:cols>
          <w:pgMar w:left="320" w:top="985" w:right="379" w:bottom="1440" w:gutter="0" w:footer="0" w:header="0"/>
          <w:type w:val="continuous"/>
        </w:sectPr>
      </w:pPr>
    </w:p>
    <w:p>
      <w:pPr>
        <w:spacing w:after="0" w:line="23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(516) 587-5000</w:t>
      </w:r>
    </w:p>
    <w:p>
      <w:pPr>
        <w:spacing w:after="0" w:line="27"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Former name or former address, if changed since last report: N/A</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1"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560" w:hanging="359"/>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00" w:hanging="445"/>
        <w:spacing w:after="0"/>
        <w:tabs>
          <w:tab w:leader="none" w:pos="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00" w:hanging="445"/>
        <w:spacing w:after="0"/>
        <w:tabs>
          <w:tab w:leader="none" w:pos="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425"/>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88"/>
              </w:rPr>
              <w:t>Title of each class</w:t>
            </w:r>
          </w:p>
        </w:tc>
        <w:tc>
          <w:tcPr>
            <w:tcW w:w="200" w:type="dxa"/>
            <w:vAlign w:val="bottom"/>
            <w:vMerge w:val="restart"/>
          </w:tcPr>
          <w:p>
            <w:pPr>
              <w:spacing w:after="0"/>
              <w:rPr>
                <w:sz w:val="17"/>
                <w:szCs w:val="17"/>
                <w:color w:val="auto"/>
              </w:rPr>
            </w:pPr>
          </w:p>
        </w:tc>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2"/>
              </w:rPr>
              <w:t>Trading Symbol(s)</w:t>
            </w:r>
          </w:p>
        </w:tc>
        <w:tc>
          <w:tcPr>
            <w:tcW w:w="160" w:type="dxa"/>
            <w:vAlign w:val="bottom"/>
            <w:vMerge w:val="restart"/>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88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c>
          <w:tcPr>
            <w:tcW w:w="0" w:type="dxa"/>
            <w:vAlign w:val="bottom"/>
          </w:tcPr>
          <w:p>
            <w:pPr>
              <w:spacing w:after="0"/>
              <w:rPr>
                <w:sz w:val="1"/>
                <w:szCs w:val="1"/>
                <w:color w:val="auto"/>
              </w:rPr>
            </w:pPr>
          </w:p>
        </w:tc>
      </w:tr>
      <w:tr>
        <w:trPr>
          <w:trHeight w:val="169"/>
        </w:trPr>
        <w:tc>
          <w:tcPr>
            <w:tcW w:w="2880" w:type="dxa"/>
            <w:vAlign w:val="bottom"/>
          </w:tcPr>
          <w:p>
            <w:pPr>
              <w:jc w:val="center"/>
              <w:spacing w:after="0" w:line="169" w:lineRule="exact"/>
              <w:rPr>
                <w:sz w:val="20"/>
                <w:szCs w:val="20"/>
                <w:color w:val="auto"/>
              </w:rPr>
            </w:pPr>
            <w:r>
              <w:rPr>
                <w:rFonts w:ascii="Arial" w:cs="Arial" w:eastAsia="Arial" w:hAnsi="Arial"/>
                <w:sz w:val="18"/>
                <w:szCs w:val="18"/>
                <w:color w:val="auto"/>
                <w:w w:val="90"/>
              </w:rPr>
              <w:t>Common Stock, par value $0.01 per</w:t>
            </w:r>
          </w:p>
        </w:tc>
        <w:tc>
          <w:tcPr>
            <w:tcW w:w="200" w:type="dxa"/>
            <w:vAlign w:val="bottom"/>
          </w:tcPr>
          <w:p>
            <w:pPr>
              <w:spacing w:after="0"/>
              <w:rPr>
                <w:sz w:val="14"/>
                <w:szCs w:val="14"/>
                <w:color w:val="auto"/>
              </w:rPr>
            </w:pPr>
          </w:p>
        </w:tc>
        <w:tc>
          <w:tcPr>
            <w:tcW w:w="30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rPr>
              <w:t>HAIN</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30"/>
        </w:trPr>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share</w:t>
            </w:r>
          </w:p>
        </w:tc>
        <w:tc>
          <w:tcPr>
            <w:tcW w:w="3040" w:type="dxa"/>
            <w:vAlign w:val="bottom"/>
            <w:gridSpan w:val="2"/>
            <w:vMerge w:val="continue"/>
          </w:tcPr>
          <w:p>
            <w:pPr>
              <w:spacing w:after="0"/>
              <w:rPr>
                <w:sz w:val="20"/>
                <w:szCs w:val="20"/>
                <w:color w:val="auto"/>
              </w:rPr>
            </w:pPr>
          </w:p>
        </w:tc>
        <w:tc>
          <w:tcPr>
            <w:tcW w:w="2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60" w:firstLine="45"/>
        <w:spacing w:after="0" w:line="27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740"/>
        <w:spacing w:after="0" w:line="223" w:lineRule="auto"/>
        <w:rPr>
          <w:sz w:val="20"/>
          <w:szCs w:val="20"/>
          <w:color w:val="auto"/>
        </w:rPr>
      </w:pPr>
      <w:r>
        <w:rPr>
          <w:rFonts w:ascii="Arial" w:cs="Arial" w:eastAsia="Arial" w:hAnsi="Arial"/>
          <w:sz w:val="18"/>
          <w:szCs w:val="18"/>
          <w:color w:val="auto"/>
        </w:rPr>
        <w:t>Emerging growth</w:t>
      </w:r>
    </w:p>
    <w:p>
      <w:pPr>
        <w:spacing w:after="0" w:line="1" w:lineRule="exact"/>
        <w:rPr>
          <w:sz w:val="20"/>
          <w:szCs w:val="20"/>
          <w:color w:val="auto"/>
        </w:rPr>
      </w:pPr>
    </w:p>
    <w:p>
      <w:pPr>
        <w:ind w:left="10340"/>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34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7012940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37"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00" w:space="720"/>
            <w:col w:w="9720"/>
          </w:cols>
          <w:pgMar w:left="320" w:top="1174"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18, 2021, the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the Board of Directors of The Hain Celestial Group, Inc. (the “</w:t>
      </w:r>
      <w:r>
        <w:rPr>
          <w:rFonts w:ascii="Arial" w:cs="Arial" w:eastAsia="Arial" w:hAnsi="Arial"/>
          <w:sz w:val="17"/>
          <w:szCs w:val="17"/>
          <w:u w:val="single" w:color="auto"/>
          <w:color w:val="auto"/>
        </w:rPr>
        <w:t>Company</w:t>
      </w:r>
      <w:r>
        <w:rPr>
          <w:rFonts w:ascii="Arial" w:cs="Arial" w:eastAsia="Arial" w:hAnsi="Arial"/>
          <w:sz w:val="17"/>
          <w:szCs w:val="17"/>
          <w:color w:val="auto"/>
        </w:rPr>
        <w:t>”) approved special recognition awards to certain named executive officers of the Company in recognition of their substantial efforts in contributing to the Company’s strategic and other initiatives. Such awards were made as part of the Compensation Committee’s annual assessment of the Company’s compensation program and are in addition to annual awards under the Company’s long-term incentive program.</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approved the special recognition awards in the form of restricted share units (“</w:t>
      </w:r>
      <w:r>
        <w:rPr>
          <w:rFonts w:ascii="Arial" w:cs="Arial" w:eastAsia="Arial" w:hAnsi="Arial"/>
          <w:sz w:val="18"/>
          <w:szCs w:val="18"/>
          <w:u w:val="single" w:color="auto"/>
          <w:color w:val="auto"/>
        </w:rPr>
        <w:t>RSUs</w:t>
      </w:r>
      <w:r>
        <w:rPr>
          <w:rFonts w:ascii="Arial" w:cs="Arial" w:eastAsia="Arial" w:hAnsi="Arial"/>
          <w:sz w:val="18"/>
          <w:szCs w:val="18"/>
          <w:color w:val="auto"/>
        </w:rPr>
        <w:t>”) granted pursuant to the Company’s Amended and Restated 2002 Long Term Incentive and Stock Award Plan, with 100% cliff vesting on December 31, 2023, subject to the recipient’s continued employment with the Company through the vesting date. Vesting of the RSUs will accelerate upon the recipient’s death, disability or termination without cause within twelve months following a change in control, and will accelerate on a prorated basis upon a termination of the recipient’s employment without cause other than within twelve months following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RSUs that were awarded to the relevant named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860" w:type="dxa"/>
            <w:vAlign w:val="bottom"/>
            <w:gridSpan w:val="2"/>
          </w:tcPr>
          <w:p>
            <w:pPr>
              <w:ind w:left="1880"/>
              <w:spacing w:after="0"/>
              <w:rPr>
                <w:sz w:val="20"/>
                <w:szCs w:val="20"/>
                <w:color w:val="auto"/>
              </w:rPr>
            </w:pPr>
            <w:r>
              <w:rPr>
                <w:rFonts w:ascii="Arial" w:cs="Arial" w:eastAsia="Arial" w:hAnsi="Arial"/>
                <w:sz w:val="18"/>
                <w:szCs w:val="18"/>
                <w:b w:val="1"/>
                <w:bCs w:val="1"/>
                <w:color w:val="auto"/>
              </w:rPr>
              <w:t>Position</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r>
      <w:tr>
        <w:trPr>
          <w:trHeight w:val="243"/>
        </w:trPr>
        <w:tc>
          <w:tcPr>
            <w:tcW w:w="3720" w:type="dxa"/>
            <w:vAlign w:val="bottom"/>
            <w:tcBorders>
              <w:top w:val="single" w:sz="8" w:color="auto"/>
            </w:tcBorders>
            <w:shd w:val="clear" w:color="auto" w:fill="DBE5F1"/>
          </w:tcPr>
          <w:p>
            <w:pPr>
              <w:ind w:left="20"/>
              <w:spacing w:after="0"/>
              <w:rPr>
                <w:sz w:val="20"/>
                <w:szCs w:val="20"/>
                <w:color w:val="auto"/>
              </w:rPr>
            </w:pPr>
            <w:r>
              <w:rPr>
                <w:rFonts w:ascii="Arial" w:cs="Arial" w:eastAsia="Arial" w:hAnsi="Arial"/>
                <w:sz w:val="18"/>
                <w:szCs w:val="18"/>
                <w:color w:val="auto"/>
              </w:rPr>
              <w:t>Christopher J. Boever</w:t>
            </w:r>
          </w:p>
        </w:tc>
        <w:tc>
          <w:tcPr>
            <w:tcW w:w="480" w:type="dxa"/>
            <w:vAlign w:val="bottom"/>
            <w:tcBorders>
              <w:top w:val="single" w:sz="8" w:color="DBE5F1"/>
            </w:tcBorders>
            <w:shd w:val="clear" w:color="auto" w:fill="DBE5F1"/>
          </w:tcPr>
          <w:p>
            <w:pPr>
              <w:spacing w:after="0"/>
              <w:rPr>
                <w:sz w:val="21"/>
                <w:szCs w:val="21"/>
                <w:color w:val="auto"/>
              </w:rPr>
            </w:pPr>
          </w:p>
        </w:tc>
        <w:tc>
          <w:tcPr>
            <w:tcW w:w="4380" w:type="dxa"/>
            <w:vAlign w:val="bottom"/>
            <w:tcBorders>
              <w:top w:val="single" w:sz="8" w:color="auto"/>
            </w:tcBorders>
            <w:shd w:val="clear" w:color="auto" w:fill="DBE5F1"/>
          </w:tcPr>
          <w:p>
            <w:pPr>
              <w:ind w:left="20"/>
              <w:spacing w:after="0"/>
              <w:rPr>
                <w:sz w:val="20"/>
                <w:szCs w:val="20"/>
                <w:color w:val="auto"/>
              </w:rPr>
            </w:pPr>
            <w:r>
              <w:rPr>
                <w:rFonts w:ascii="Arial" w:cs="Arial" w:eastAsia="Arial" w:hAnsi="Arial"/>
                <w:sz w:val="18"/>
                <w:szCs w:val="18"/>
                <w:color w:val="auto"/>
              </w:rPr>
              <w:t>EVP &amp; Chief Commercial Officer</w:t>
            </w:r>
          </w:p>
        </w:tc>
        <w:tc>
          <w:tcPr>
            <w:tcW w:w="480" w:type="dxa"/>
            <w:vAlign w:val="bottom"/>
            <w:tcBorders>
              <w:top w:val="single" w:sz="8" w:color="DBE5F1"/>
            </w:tcBorders>
            <w:shd w:val="clear" w:color="auto" w:fill="DBE5F1"/>
          </w:tcPr>
          <w:p>
            <w:pPr>
              <w:spacing w:after="0"/>
              <w:rPr>
                <w:sz w:val="21"/>
                <w:szCs w:val="21"/>
                <w:color w:val="auto"/>
              </w:rPr>
            </w:pPr>
          </w:p>
        </w:tc>
        <w:tc>
          <w:tcPr>
            <w:tcW w:w="2180" w:type="dxa"/>
            <w:vAlign w:val="bottom"/>
            <w:tcBorders>
              <w:top w:val="single" w:sz="8" w:color="auto"/>
            </w:tcBorders>
            <w:shd w:val="clear" w:color="auto" w:fill="DBE5F1"/>
          </w:tcPr>
          <w:p>
            <w:pPr>
              <w:jc w:val="center"/>
              <w:spacing w:after="0"/>
              <w:rPr>
                <w:sz w:val="20"/>
                <w:szCs w:val="20"/>
                <w:color w:val="auto"/>
              </w:rPr>
            </w:pPr>
            <w:r>
              <w:rPr>
                <w:rFonts w:ascii="Arial" w:cs="Arial" w:eastAsia="Arial" w:hAnsi="Arial"/>
                <w:sz w:val="18"/>
                <w:szCs w:val="18"/>
                <w:color w:val="auto"/>
                <w:w w:val="89"/>
              </w:rPr>
              <w:t>73,566 RSUs</w:t>
            </w: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Kristy M. Meringolo</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EVP, General Counsel and Corporate Secretary</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24,522 RSUs</w:t>
            </w:r>
          </w:p>
        </w:tc>
      </w:tr>
      <w:tr>
        <w:trPr>
          <w:trHeight w:val="1707"/>
        </w:trPr>
        <w:tc>
          <w:tcPr>
            <w:tcW w:w="3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2021</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HAIN CELESTIAL GROUP, INC.</w:t>
      </w:r>
    </w:p>
    <w:p>
      <w:pPr>
        <w:spacing w:after="0" w:line="256"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Kristy M. Meringolo</w:t>
            </w:r>
          </w:p>
        </w:tc>
      </w:t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Kristy M. Meringolo</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EVP, General Counsel and Corporate Secretary</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2021-11-19T15:11:26Z</dcterms:created>
  <dcterms:modified xsi:type="dcterms:W3CDTF">2021-11-19T15:11:26Z</dcterms:modified>
</cp:coreProperties>
</file>