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405765</wp:posOffset>
            </wp:positionV>
            <wp:extent cx="1423035" cy="1062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HAIN CELESTIAL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473075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0-22818</w:t>
            </w: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22-3240619</w:t>
            </w:r>
          </w:p>
        </w:tc>
      </w:tr>
      <w:tr>
        <w:trPr>
          <w:trHeight w:val="216"/>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8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221 River Street,</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6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Hoboken, New Jersey</w:t>
            </w:r>
          </w:p>
        </w:tc>
        <w:tc>
          <w:tcPr>
            <w:tcW w:w="2860" w:type="dxa"/>
            <w:vAlign w:val="bottom"/>
          </w:tcPr>
          <w:p>
            <w:pPr>
              <w:spacing w:after="0"/>
              <w:rPr>
                <w:sz w:val="18"/>
                <w:szCs w:val="18"/>
                <w:color w:val="auto"/>
              </w:rPr>
            </w:pPr>
          </w:p>
        </w:tc>
        <w:tc>
          <w:tcPr>
            <w:tcW w:w="2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07030</w:t>
            </w:r>
          </w:p>
        </w:tc>
      </w:tr>
      <w:tr>
        <w:trPr>
          <w:trHeight w:val="238"/>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6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3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587-5000</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-305435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1" w:lineRule="exact"/>
        <w:rPr>
          <w:sz w:val="24"/>
          <w:szCs w:val="24"/>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920" w:hanging="46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HAIN</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86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previously disclosed on a Current Report on Form 8-K filed with the U.S. Securities and Exchange Commission (the “SEC”) by The Hain Celestial Group, Inc. (“Hain”) on February 2, 2026, Hain entered into an asset purchase agreement with Snackruptors Inc. (“Snackruptors”) dated as of January 30, 2026 (the “Purchase Agreement”) pursuant to which Snackruptors agreed to acquire from Hain its North American Snacks business, including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and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as well as certain private label products, subject to the terms and conditions set forth therein (the “Transaction”). On February 27, 2026, Hain completed the Transaction and received $111.2 million in cash, reflecting the total purchase price of $115.0 million less the holdback of an estimate for a customary inventory adjustment, which is subject to finalization following the closing.</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statements of operations for Hain for the six months ended December 31, 2025 and for the fiscal year ended June 30, 2025, and an unaudited pro forma consolidated balance sheet as of December 31, 2025, in each case giving effect to the Transaction, is attached hereto as Exhibit 99.2.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was filed as Exhibit 2.1 to Hain’s Form 8-K filed on February 2, 2026, and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 2026, Hain issued a press release announcing the completion of the Transaction. A copy of the press release is attached hereto as Exhibit 99.1.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furnished and shall not be deemed “filed” for purposes of Section 18 of the Securities Exchange Act of 1934, as amended (the “Exchange Act”) or otherwise subject to the liabilities under that Section and shall not be deemed to be incorporated by reference into any filing of Hain under the Securities Act of 1933, as amended, or the Exchange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9520" w:type="dxa"/>
            <w:vAlign w:val="bottom"/>
            <w:tcBorders>
              <w:bottom w:val="single" w:sz="8" w:color="auto"/>
            </w:tcBorders>
            <w:gridSpan w:val="7"/>
          </w:tcPr>
          <w:p>
            <w:pPr>
              <w:ind w:left="432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260" w:type="dxa"/>
            <w:vAlign w:val="bottom"/>
          </w:tcPr>
          <w:p>
            <w:pPr>
              <w:spacing w:after="0"/>
              <w:rPr>
                <w:sz w:val="14"/>
                <w:szCs w:val="14"/>
                <w:color w:val="auto"/>
              </w:rPr>
            </w:pPr>
          </w:p>
        </w:tc>
        <w:tc>
          <w:tcPr>
            <w:tcW w:w="91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Asset Purchase Agreement dated as of January 30, 2026 by and between The Hain Celestial Group, Inc. and Snackruptors Inc.</w:t>
              </w:r>
            </w:hyperlink>
          </w:p>
        </w:tc>
        <w:tc>
          <w:tcPr>
            <w:tcW w:w="380" w:type="dxa"/>
            <w:vAlign w:val="bottom"/>
            <w:gridSpan w:val="2"/>
          </w:tcPr>
          <w:p>
            <w:pPr>
              <w:spacing w:after="0"/>
              <w:rPr>
                <w:sz w:val="14"/>
                <w:szCs w:val="14"/>
                <w:color w:val="auto"/>
              </w:rPr>
            </w:pPr>
          </w:p>
        </w:tc>
      </w:tr>
      <w:tr>
        <w:trPr>
          <w:trHeight w:val="196"/>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7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(incorporated by reference to Exhibit 2.1 of Hain’s Current Report on Form 8-K filed with the SEC on February 2, 2026).</w:t>
              </w:r>
            </w:hyperlink>
          </w:p>
        </w:tc>
        <w:tc>
          <w:tcPr>
            <w:tcW w:w="760" w:type="dxa"/>
            <w:vAlign w:val="bottom"/>
            <w:gridSpan w:val="3"/>
          </w:tcPr>
          <w:p>
            <w:pPr>
              <w:spacing w:after="0"/>
              <w:rPr>
                <w:sz w:val="17"/>
                <w:szCs w:val="17"/>
                <w:color w:val="auto"/>
              </w:rPr>
            </w:pPr>
          </w:p>
        </w:tc>
      </w:tr>
      <w:tr>
        <w:trPr>
          <w:trHeight w:val="196"/>
        </w:trPr>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7"/>
                <w:szCs w:val="17"/>
                <w:color w:val="auto"/>
              </w:rPr>
            </w:pPr>
          </w:p>
        </w:tc>
        <w:tc>
          <w:tcPr>
            <w:tcW w:w="9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Press Release of The Hain Celestial Group, Inc. dated March 2, 2026</w:t>
            </w:r>
          </w:p>
        </w:tc>
      </w:tr>
      <w:tr>
        <w:trPr>
          <w:trHeight w:val="20"/>
        </w:trPr>
        <w:tc>
          <w:tcPr>
            <w:tcW w:w="14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17"/>
                <w:szCs w:val="17"/>
                <w:color w:val="auto"/>
              </w:rPr>
            </w:pPr>
          </w:p>
        </w:tc>
        <w:tc>
          <w:tcPr>
            <w:tcW w:w="8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consolidated balance sheet of Hain as of December 31, 2025 and unaudited pro forma consolidated</w:t>
            </w:r>
          </w:p>
        </w:tc>
        <w:tc>
          <w:tcPr>
            <w:tcW w:w="780" w:type="dxa"/>
            <w:vAlign w:val="bottom"/>
            <w:gridSpan w:val="4"/>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of Hain for the six months ended December 31, 2025 and for the fiscal year ended June 30, 2025, in each</w:t>
            </w:r>
          </w:p>
        </w:tc>
        <w:tc>
          <w:tcPr>
            <w:tcW w:w="10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case, giving effect to the Transaction, and the related notes thereto.</w:t>
            </w:r>
          </w:p>
        </w:tc>
      </w:tr>
      <w:tr>
        <w:trPr>
          <w:trHeight w:val="20"/>
        </w:trPr>
        <w:tc>
          <w:tcPr>
            <w:tcW w:w="14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840" w:type="dxa"/>
            <w:vAlign w:val="bottom"/>
            <w:tcBorders>
              <w:right w:val="single" w:sz="8" w:color="0000EE"/>
            </w:tcBorders>
            <w:shd w:val="clear" w:color="auto" w:fill="0000FF"/>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r>
      <w:tr>
        <w:trPr>
          <w:trHeight w:val="23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9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r>
        <w:rPr>
          <w:sz w:val="20"/>
          <w:szCs w:val="20"/>
          <w:color w:val="auto"/>
        </w:rPr>
        <w:tab/>
      </w:r>
      <w:r>
        <w:rPr>
          <w:rFonts w:ascii="Times New Roman" w:cs="Times New Roman" w:eastAsia="Times New Roman" w:hAnsi="Times New Roman"/>
          <w:sz w:val="18"/>
          <w:szCs w:val="18"/>
          <w:color w:val="auto"/>
        </w:rPr>
        <w:t>By:</w:t>
        <w:tab/>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Lee A. Boyce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HAIN CELESTIAL COMPLETES SALE OF NORTH AMERICAN SNACKS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Transaction sharpens focus on higher-margin core categories.</w:t>
      </w:r>
    </w:p>
    <w:p>
      <w:pPr>
        <w:spacing w:after="0" w:line="36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HOBOKEN, N.J., March 2, 2026 /GlobeNewswire/ -- Hain Celestial Group (Nasdaq: HAIN), a leading global health and wellness company whose purpose is to inspire healthier living through better-for-you brands, today announced that it has completed the previously announced sale of its North American Snacks business, including Garden Veggie Snacks™, Terra® chips and Garden of Eatin'® snacks, to Snackruptors Inc., a Canadian, family-owned snacks manufacturer.</w:t>
      </w:r>
    </w:p>
    <w:p>
      <w:pPr>
        <w:spacing w:after="0" w:line="109" w:lineRule="exact"/>
        <w:rPr>
          <w:sz w:val="20"/>
          <w:szCs w:val="20"/>
          <w:color w:val="auto"/>
        </w:rPr>
      </w:pPr>
    </w:p>
    <w:p>
      <w:pPr>
        <w:ind w:right="760"/>
        <w:spacing w:after="0" w:line="259" w:lineRule="auto"/>
        <w:rPr>
          <w:sz w:val="20"/>
          <w:szCs w:val="20"/>
          <w:color w:val="auto"/>
        </w:rPr>
      </w:pPr>
      <w:r>
        <w:rPr>
          <w:rFonts w:ascii="Arial" w:cs="Arial" w:eastAsia="Arial" w:hAnsi="Arial"/>
          <w:sz w:val="22"/>
          <w:szCs w:val="22"/>
          <w:color w:val="auto"/>
        </w:rPr>
        <w:t>Proceeds from the transaction will be used to reduce debt, strengthening the company’s financial position and leverage profile.</w:t>
      </w:r>
    </w:p>
    <w:p>
      <w:pPr>
        <w:spacing w:after="0" w:line="89"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The divestiture represents an important first step as Hain sharpens its focus and advances a simplified North American portfolio centered on core categories with stronger margin and cash flow profiles. The resulting portfolio and financial profile will support increased investment over time in the company’s North American better-for-you brands across its flagship categories of yogurt, tea, and baby &amp; kids foods.</w:t>
      </w:r>
    </w:p>
    <w:p>
      <w:pPr>
        <w:spacing w:after="0" w:line="95"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Going forward, Hain’s global brands will include Celestial Seasonings® teas, The Greek Gods® yogurt, Earth's Best® Organic and Ella's Kitchen® baby and kids foods, Joya® and Natumi® plant-based beverages, Hartley’s® jelly, as well as Cully &amp; Sully®, Yorkshire Provender®, and New Covent Garden® soups, among others.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Hain Celestial Group</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Hain Celestial is a leading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in over 70 countries around the world. Our leading brands include Celestial Seasonings® teas, The Greek Gods® yogurt, Earth's Best® Organic and Ella's Kitchen® baby and kids foods, Joya® and Natumi® plant-based beverages, Hartley’s® jelly, as well as Cully &amp; Sully®, Yorkshire Provender®, and New Covent Garden® soups, among others. For more information, visit www.hain.com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press release contains forward-looking statements within the meaning of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including statements about the company’s margin and cash flow profiles and business strategy.</w:t>
      </w:r>
    </w:p>
    <w:p>
      <w:pPr>
        <w:spacing w:after="0" w:line="11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Risks and uncertainties that may cause actual results to differ materially from forward-looking statements include our ability to successfully separate the business and realize the benefits of the contemplated disposition and the other risks and uncertainties described in our most recent Annual Report on Form 10-K and our other filings from time to time with the U.S. Securities and Exchange Commission.</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We undertake no obligation to update forward-looking statements to reflect actual results or changes in assumptions or circumstances, except as required by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Alexis Tessier</w:t>
      </w:r>
    </w:p>
    <w:p>
      <w:pPr>
        <w:spacing w:after="0"/>
        <w:rPr>
          <w:sz w:val="20"/>
          <w:szCs w:val="20"/>
          <w:color w:val="auto"/>
        </w:rPr>
      </w:pPr>
      <w:r>
        <w:rPr>
          <w:rFonts w:ascii="Arial" w:cs="Arial" w:eastAsia="Arial" w:hAnsi="Arial"/>
          <w:sz w:val="22"/>
          <w:szCs w:val="22"/>
          <w:color w:val="auto"/>
        </w:rPr>
        <w:t>Investor.Relations@hain.com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Justin Godley</w:t>
      </w:r>
    </w:p>
    <w:p>
      <w:pPr>
        <w:spacing w:after="0"/>
        <w:rPr>
          <w:sz w:val="20"/>
          <w:szCs w:val="20"/>
          <w:color w:val="auto"/>
        </w:rPr>
      </w:pPr>
      <w:r>
        <w:rPr>
          <w:rFonts w:ascii="Arial" w:cs="Arial" w:eastAsia="Arial" w:hAnsi="Arial"/>
          <w:sz w:val="22"/>
          <w:szCs w:val="22"/>
          <w:color w:val="auto"/>
        </w:rPr>
        <w:t>Justin.Godley@hain.com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February 2, 2026, The Hain Celestial Group, Inc. (“Hain”) announced that it had entered into an asset purchase agreement with Snackruptors Inc. (“Snackruptors”) dated as of January 30, 2026 (the “Purchase Agreement”) pursuant to which Snackruptors agreed to acquire from Hain its North American Snacks business, including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and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as well as certain private label products, subject to the terms and conditions set forth therein (the “Transaction”). On February 27, 2026, Hain completed the Transaction and received $111.2 million in cash, reflecting the total purchase price of $115.0 million less the holdback of an estimate for a customary inventory adjustment, which is subject to finalization following the closing.</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does not meet the criteria requiring the presentation of the business as a discontinued operation in accordance with accounting principles generally accepted in the United States of America (“U.S. GAAP”) and is considered a disposition of a significant business under Item 2.01 of Form 8-K. Hain prepared the accompanying unaudited pro forma consolidated financial statements in accordance with Article 11 of Regulation S-X.</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prepared based upon available information and does not include all of the information and note disclosures required by U.S. GAAP. The accompanying unaudited pro forma consolidated balance sheet as of December 31, 2025 has been prepared giving effect to the Transaction as if it had occurred on December 31, 2025, the end of the most recent period for which a balance sheet is required. The accompanying unaudited pro forma consolidated statements of operations for the six months ended December 31, 2025 and fiscal year ended June 30, 2025 give effect to the Transaction as if it had occurred on July 1,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provided for illustrative informational purposes only, has been derived from the historical consolidated financial statements of Hain and is presented based on available information and certain assumptions that Hain believes are reasonable and that are described in the accompanying notes. Differences between these preliminary estimates and the final sale accounting may arise, and these differences could have a material effect on the unaudited pro forma consolidated financial information and the Company’s future results of operations and financial position. The unaudited pro forma consolidated financial information is not necessarily, and should not be assumed to be, an indication of the actual results that would have been achieved had the Transaction been completed as of the dates indicated or that may be achieved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pro forma consolidated financial statements should be read together with:</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consolidated financial statements;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consolidated financial statements and the accompanying notes included in the Quarterly Report on Form 10-Q for quarter ended December 31, 2025 (the “Form 10-Q”), filed with the Securities and Exchange Commission (the “SEC”) on February 9, 2026;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audited historical consolidated financial statements and the accompanying notes included in the Annual Report on Form 10-K for the fiscal year ended June 30, 2025, filed with the SEC on September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HAIN CELESTIAL GROUP, INC. AND SUBSIDIARIES</w:t>
            </w: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CONSOLIDATED BALANCE SHEET</w:t>
            </w: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par values)</w:t>
            </w: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Transaction Accounting</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60" w:type="dxa"/>
            <w:vAlign w:val="bottom"/>
          </w:tcPr>
          <w:p>
            <w:pPr>
              <w:spacing w:after="0"/>
              <w:rPr>
                <w:sz w:val="18"/>
                <w:szCs w:val="18"/>
                <w:color w:val="auto"/>
              </w:rPr>
            </w:pPr>
          </w:p>
        </w:tc>
        <w:tc>
          <w:tcPr>
            <w:tcW w:w="19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99"/>
        </w:trPr>
        <w:tc>
          <w:tcPr>
            <w:tcW w:w="4580" w:type="dxa"/>
            <w:vAlign w:val="bottom"/>
            <w:shd w:val="clear" w:color="auto" w:fill="CCECFF"/>
          </w:tcPr>
          <w:p>
            <w:pPr>
              <w:ind w:left="1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1920" w:type="dxa"/>
            <w:vAlign w:val="bottom"/>
            <w:tcBorders>
              <w:top w:val="single" w:sz="8" w:color="auto"/>
            </w:tcBorders>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340" w:type="dxa"/>
            <w:vAlign w:val="bottom"/>
            <w:tcBorders>
              <w:top w:val="single" w:sz="8" w:color="auto"/>
            </w:tcBorders>
            <w:shd w:val="clear" w:color="auto" w:fill="CCECFF"/>
          </w:tcPr>
          <w:p>
            <w:pPr>
              <w:spacing w:after="0"/>
              <w:rPr>
                <w:sz w:val="17"/>
                <w:szCs w:val="17"/>
                <w:color w:val="auto"/>
              </w:rPr>
            </w:pPr>
          </w:p>
        </w:tc>
        <w:tc>
          <w:tcPr>
            <w:tcW w:w="1680" w:type="dxa"/>
            <w:vAlign w:val="bottom"/>
            <w:tcBorders>
              <w:top w:val="single" w:sz="8" w:color="auto"/>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10,119</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 xml:space="preserve">(b), (d) </w:t>
            </w:r>
            <w:r>
              <w:rPr>
                <w:rFonts w:ascii="Times New Roman" w:cs="Times New Roman" w:eastAsia="Times New Roman" w:hAnsi="Times New Roman"/>
                <w:sz w:val="16"/>
                <w:szCs w:val="16"/>
                <w:color w:val="auto"/>
              </w:rPr>
              <w:t>$</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78,136</w:t>
            </w: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$2,212</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174,064</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174,064</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215,742</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(34,292)</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181,450</w:t>
            </w: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76,435</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76,435</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Assets held for sale</w:t>
            </w:r>
          </w:p>
        </w:tc>
        <w:tc>
          <w:tcPr>
            <w:tcW w:w="36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30,137</w:t>
            </w:r>
          </w:p>
        </w:tc>
        <w:tc>
          <w:tcPr>
            <w:tcW w:w="160" w:type="dxa"/>
            <w:vAlign w:val="bottom"/>
            <w:tcBorders>
              <w:bottom w:val="single" w:sz="8" w:color="auto"/>
            </w:tcBorders>
            <w:shd w:val="clear" w:color="auto" w:fill="CCECFF"/>
          </w:tcPr>
          <w:p>
            <w:pPr>
              <w:spacing w:after="0"/>
              <w:rPr>
                <w:sz w:val="17"/>
                <w:szCs w:val="17"/>
                <w:color w:val="auto"/>
              </w:rPr>
            </w:pPr>
          </w:p>
        </w:tc>
        <w:tc>
          <w:tcPr>
            <w:tcW w:w="19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16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30,137</w:t>
            </w: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564,395</w:t>
            </w:r>
          </w:p>
        </w:tc>
        <w:tc>
          <w:tcPr>
            <w:tcW w:w="1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(24,173)</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540,222</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250,500</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(55,492)</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195,008</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378,042</w:t>
            </w:r>
          </w:p>
        </w:tc>
        <w:tc>
          <w:tcPr>
            <w:tcW w:w="1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(61,070)</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316,972</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Trademarks and other intangible assets, net</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194,293</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186,293</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67,348</w:t>
            </w:r>
          </w:p>
        </w:tc>
        <w:tc>
          <w:tcPr>
            <w:tcW w:w="1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56,569</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22,832</w:t>
            </w:r>
          </w:p>
        </w:tc>
        <w:tc>
          <w:tcPr>
            <w:tcW w:w="160" w:type="dxa"/>
            <w:vAlign w:val="bottom"/>
            <w:tcBorders>
              <w:bottom w:val="single" w:sz="8" w:color="auto"/>
            </w:tcBorders>
            <w:shd w:val="clear" w:color="auto" w:fill="CCECFF"/>
          </w:tcPr>
          <w:p>
            <w:pPr>
              <w:spacing w:after="0"/>
              <w:rPr>
                <w:sz w:val="17"/>
                <w:szCs w:val="17"/>
                <w:color w:val="auto"/>
              </w:rPr>
            </w:pPr>
          </w:p>
        </w:tc>
        <w:tc>
          <w:tcPr>
            <w:tcW w:w="19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16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22,832</w:t>
            </w: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1,477,410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(159,514)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1,317,896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2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198,475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198,475</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103,190</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7,040</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 (c)</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110,230</w:t>
            </w:r>
          </w:p>
        </w:tc>
        <w:tc>
          <w:tcPr>
            <w:tcW w:w="0" w:type="dxa"/>
            <w:vAlign w:val="bottom"/>
          </w:tcPr>
          <w:p>
            <w:pPr>
              <w:spacing w:after="0"/>
              <w:rPr>
                <w:sz w:val="1"/>
                <w:szCs w:val="1"/>
                <w:color w:val="auto"/>
              </w:rPr>
            </w:pPr>
          </w:p>
        </w:tc>
      </w:tr>
      <w:tr>
        <w:trPr>
          <w:trHeight w:val="24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704,315</w:t>
            </w:r>
          </w:p>
        </w:tc>
        <w:tc>
          <w:tcPr>
            <w:tcW w:w="1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(100,526)</w:t>
            </w: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 (d),</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603,789</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36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10,554</w:t>
            </w:r>
          </w:p>
        </w:tc>
        <w:tc>
          <w:tcPr>
            <w:tcW w:w="160" w:type="dxa"/>
            <w:vAlign w:val="bottom"/>
            <w:tcBorders>
              <w:bottom w:val="single" w:sz="8" w:color="auto"/>
            </w:tcBorders>
            <w:shd w:val="clear" w:color="auto" w:fill="CCECFF"/>
          </w:tcPr>
          <w:p>
            <w:pPr>
              <w:spacing w:after="0"/>
              <w:rPr>
                <w:sz w:val="17"/>
                <w:szCs w:val="17"/>
                <w:color w:val="auto"/>
              </w:rPr>
            </w:pPr>
          </w:p>
        </w:tc>
        <w:tc>
          <w:tcPr>
            <w:tcW w:w="19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16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10,554</w:t>
            </w:r>
          </w:p>
        </w:tc>
        <w:tc>
          <w:tcPr>
            <w:tcW w:w="0" w:type="dxa"/>
            <w:vAlign w:val="bottom"/>
          </w:tcPr>
          <w:p>
            <w:pPr>
              <w:spacing w:after="0"/>
              <w:rPr>
                <w:sz w:val="1"/>
                <w:szCs w:val="1"/>
                <w:color w:val="auto"/>
              </w:rPr>
            </w:pP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1,016,534</w:t>
            </w:r>
          </w:p>
        </w:tc>
        <w:tc>
          <w:tcPr>
            <w:tcW w:w="1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(93,486)</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923,048</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40,923</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40,923</w:t>
            </w:r>
          </w:p>
        </w:tc>
        <w:tc>
          <w:tcPr>
            <w:tcW w:w="0" w:type="dxa"/>
            <w:vAlign w:val="bottom"/>
          </w:tcPr>
          <w:p>
            <w:pPr>
              <w:spacing w:after="0"/>
              <w:rPr>
                <w:sz w:val="1"/>
                <w:szCs w:val="1"/>
                <w:color w:val="auto"/>
              </w:rPr>
            </w:pPr>
          </w:p>
        </w:tc>
      </w:tr>
      <w:tr>
        <w:trPr>
          <w:trHeight w:val="20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61,683</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92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51,017</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27,637</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27,637</w:t>
            </w:r>
          </w:p>
        </w:tc>
        <w:tc>
          <w:tcPr>
            <w:tcW w:w="0" w:type="dxa"/>
            <w:vAlign w:val="bottom"/>
          </w:tcPr>
          <w:p>
            <w:pPr>
              <w:spacing w:after="0"/>
              <w:rPr>
                <w:sz w:val="1"/>
                <w:szCs w:val="1"/>
                <w:color w:val="auto"/>
              </w:rPr>
            </w:pPr>
          </w:p>
        </w:tc>
      </w:tr>
      <w:tr>
        <w:trPr>
          <w:trHeight w:val="196"/>
        </w:trPr>
        <w:tc>
          <w:tcPr>
            <w:tcW w:w="4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1,147,165</w:t>
            </w:r>
          </w:p>
        </w:tc>
        <w:tc>
          <w:tcPr>
            <w:tcW w:w="160" w:type="dxa"/>
            <w:vAlign w:val="bottom"/>
            <w:shd w:val="clear" w:color="auto" w:fill="CCECFF"/>
          </w:tcPr>
          <w:p>
            <w:pPr>
              <w:spacing w:after="0"/>
              <w:rPr>
                <w:sz w:val="17"/>
                <w:szCs w:val="17"/>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(104,202)</w:t>
            </w:r>
          </w:p>
        </w:tc>
        <w:tc>
          <w:tcPr>
            <w:tcW w:w="5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6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1,042,963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-2759710</wp:posOffset>
            </wp:positionV>
            <wp:extent cx="368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-1979295</wp:posOffset>
            </wp:positionV>
            <wp:extent cx="368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-788035</wp:posOffset>
            </wp:positionV>
            <wp:extent cx="368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26" w:lineRule="exact"/>
        <w:rPr>
          <w:sz w:val="20"/>
          <w:szCs w:val="20"/>
          <w:color w:val="auto"/>
        </w:rPr>
      </w:pPr>
    </w:p>
    <w:p>
      <w:pPr>
        <w:ind w:left="100" w:right="600"/>
        <w:spacing w:after="0" w:line="264" w:lineRule="auto"/>
        <w:rPr>
          <w:sz w:val="20"/>
          <w:szCs w:val="20"/>
          <w:color w:val="auto"/>
        </w:rPr>
      </w:pPr>
      <w:r>
        <w:rPr>
          <w:rFonts w:ascii="Times New Roman" w:cs="Times New Roman" w:eastAsia="Times New Roman" w:hAnsi="Times New Roman"/>
          <w:sz w:val="16"/>
          <w:szCs w:val="16"/>
          <w:color w:val="auto"/>
        </w:rPr>
        <w:t>Preferred stock - $.01 par value, authorized 5,000 shares; issued and outstanding: none</w:t>
      </w:r>
    </w:p>
    <w:p>
      <w:pPr>
        <w:ind w:left="100"/>
        <w:spacing w:after="0"/>
        <w:rPr>
          <w:sz w:val="20"/>
          <w:szCs w:val="20"/>
          <w:color w:val="auto"/>
        </w:rPr>
      </w:pPr>
      <w:r>
        <w:rPr>
          <w:rFonts w:ascii="Times New Roman" w:cs="Times New Roman" w:eastAsia="Times New Roman" w:hAnsi="Times New Roman"/>
          <w:sz w:val="16"/>
          <w:szCs w:val="16"/>
          <w:color w:val="auto"/>
        </w:rPr>
        <w:t>Common stock - $.01 par value, authorized 150,000 shares; issued: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113,456; outstanding: 90,993</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Retained deficit</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5"/>
        </w:trPr>
        <w:tc>
          <w:tcPr>
            <w:tcW w:w="14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1,135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310"/>
        </w:trPr>
        <w:tc>
          <w:tcPr>
            <w:tcW w:w="14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6"/>
              </w:rPr>
              <w:t>1,241,446</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 (b),</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1,241,446</w:t>
            </w:r>
          </w:p>
        </w:tc>
        <w:tc>
          <w:tcPr>
            <w:tcW w:w="0" w:type="dxa"/>
            <w:vAlign w:val="bottom"/>
          </w:tcPr>
          <w:p>
            <w:pPr>
              <w:spacing w:after="0"/>
              <w:rPr>
                <w:sz w:val="1"/>
                <w:szCs w:val="1"/>
                <w:color w:val="auto"/>
              </w:rPr>
            </w:pPr>
          </w:p>
        </w:tc>
      </w:tr>
      <w:tr>
        <w:trPr>
          <w:trHeight w:val="249"/>
        </w:trPr>
        <w:tc>
          <w:tcPr>
            <w:tcW w:w="146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(89,953)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(55,312)</w:t>
            </w:r>
          </w:p>
        </w:tc>
        <w:tc>
          <w:tcPr>
            <w:tcW w:w="1200" w:type="dxa"/>
            <w:vAlign w:val="bottom"/>
            <w:vMerge w:val="continue"/>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(145,265)</w:t>
            </w:r>
          </w:p>
        </w:tc>
        <w:tc>
          <w:tcPr>
            <w:tcW w:w="0" w:type="dxa"/>
            <w:vAlign w:val="bottom"/>
          </w:tcPr>
          <w:p>
            <w:pPr>
              <w:spacing w:after="0"/>
              <w:rPr>
                <w:sz w:val="1"/>
                <w:szCs w:val="1"/>
                <w:color w:val="auto"/>
              </w:rPr>
            </w:pPr>
          </w:p>
        </w:tc>
      </w:tr>
      <w:tr>
        <w:trPr>
          <w:trHeight w:val="212"/>
        </w:trPr>
        <w:tc>
          <w:tcPr>
            <w:tcW w:w="146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color w:val="auto"/>
              </w:rPr>
              <w:t>(91,893)</w:t>
            </w:r>
          </w:p>
        </w:tc>
        <w:tc>
          <w:tcPr>
            <w:tcW w:w="13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 (e)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(91,893)</w:t>
            </w:r>
          </w:p>
        </w:tc>
        <w:tc>
          <w:tcPr>
            <w:tcW w:w="0" w:type="dxa"/>
            <w:vAlign w:val="bottom"/>
          </w:tcPr>
          <w:p>
            <w:pPr>
              <w:spacing w:after="0"/>
              <w:rPr>
                <w:sz w:val="1"/>
                <w:szCs w:val="1"/>
                <w:color w:val="auto"/>
              </w:rPr>
            </w:pPr>
          </w:p>
        </w:tc>
      </w:tr>
      <w:tr>
        <w:trPr>
          <w:trHeight w:val="146"/>
        </w:trPr>
        <w:tc>
          <w:tcPr>
            <w:tcW w:w="14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-1152525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-767080</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-381000</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20" w:space="720"/>
            <w:col w:w="5400"/>
          </w:cols>
          <w:pgMar w:left="320" w:top="772"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1,060,735</w:t>
            </w:r>
          </w:p>
        </w:tc>
        <w:tc>
          <w:tcPr>
            <w:tcW w:w="7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(55,312)</w:t>
            </w:r>
          </w:p>
        </w:tc>
        <w:tc>
          <w:tcPr>
            <w:tcW w:w="5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1,005,423</w:t>
            </w:r>
          </w:p>
        </w:tc>
      </w:tr>
      <w:tr>
        <w:trPr>
          <w:trHeight w:val="203"/>
        </w:trPr>
        <w:tc>
          <w:tcPr>
            <w:tcW w:w="458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Less: Treasury stock, at cost, 22,463 shares</w:t>
            </w:r>
          </w:p>
        </w:tc>
        <w:tc>
          <w:tcPr>
            <w:tcW w:w="660" w:type="dxa"/>
            <w:vAlign w:val="bottom"/>
            <w:tcBorders>
              <w:bottom w:val="single" w:sz="8" w:color="auto"/>
            </w:tcBorders>
            <w:shd w:val="clear" w:color="auto" w:fill="CCECFF"/>
          </w:tcPr>
          <w:p>
            <w:pPr>
              <w:spacing w:after="0"/>
              <w:rPr>
                <w:sz w:val="17"/>
                <w:szCs w:val="17"/>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(730,490)</w:t>
            </w:r>
          </w:p>
        </w:tc>
        <w:tc>
          <w:tcPr>
            <w:tcW w:w="740" w:type="dxa"/>
            <w:vAlign w:val="bottom"/>
            <w:tcBorders>
              <w:bottom w:val="single" w:sz="8" w:color="auto"/>
            </w:tcBorders>
            <w:shd w:val="clear" w:color="auto" w:fill="CCECFF"/>
          </w:tcPr>
          <w:p>
            <w:pPr>
              <w:spacing w:after="0"/>
              <w:rPr>
                <w:sz w:val="17"/>
                <w:szCs w:val="17"/>
                <w:color w:val="auto"/>
              </w:rPr>
            </w:pPr>
          </w:p>
        </w:tc>
        <w:tc>
          <w:tcPr>
            <w:tcW w:w="13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CFF"/>
            </w:tcBorders>
            <w:shd w:val="clear" w:color="auto" w:fill="CCECFF"/>
          </w:tcPr>
          <w:p>
            <w:pPr>
              <w:spacing w:after="0"/>
              <w:rPr>
                <w:sz w:val="17"/>
                <w:szCs w:val="17"/>
                <w:color w:val="auto"/>
              </w:rPr>
            </w:pPr>
          </w:p>
        </w:tc>
        <w:tc>
          <w:tcPr>
            <w:tcW w:w="680" w:type="dxa"/>
            <w:vAlign w:val="bottom"/>
            <w:tcBorders>
              <w:bottom w:val="single" w:sz="8" w:color="auto"/>
            </w:tcBorders>
            <w:shd w:val="clear" w:color="auto" w:fill="CCECFF"/>
          </w:tcPr>
          <w:p>
            <w:pPr>
              <w:spacing w:after="0"/>
              <w:rPr>
                <w:sz w:val="17"/>
                <w:szCs w:val="17"/>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(730,490)</w:t>
            </w:r>
          </w:p>
        </w:tc>
      </w:tr>
      <w:tr>
        <w:trPr>
          <w:trHeight w:val="196"/>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330,245</w:t>
            </w:r>
          </w:p>
        </w:tc>
        <w:tc>
          <w:tcPr>
            <w:tcW w:w="7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(55,312)</w:t>
            </w:r>
          </w:p>
        </w:tc>
        <w:tc>
          <w:tcPr>
            <w:tcW w:w="5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274,933</w:t>
            </w:r>
          </w:p>
        </w:tc>
      </w:tr>
      <w:tr>
        <w:trPr>
          <w:trHeight w:val="236"/>
        </w:trPr>
        <w:tc>
          <w:tcPr>
            <w:tcW w:w="4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660" w:type="dxa"/>
            <w:vAlign w:val="bottom"/>
            <w:shd w:val="clear" w:color="auto" w:fill="CCECFF"/>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rPr>
              <w:t>1,477,410</w:t>
            </w:r>
          </w:p>
        </w:tc>
        <w:tc>
          <w:tcPr>
            <w:tcW w:w="740" w:type="dxa"/>
            <w:vAlign w:val="bottom"/>
            <w:shd w:val="clear" w:color="auto" w:fill="CCEC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(159,514)</w:t>
            </w:r>
          </w:p>
        </w:tc>
        <w:tc>
          <w:tcPr>
            <w:tcW w:w="1260" w:type="dxa"/>
            <w:vAlign w:val="bottom"/>
            <w:gridSpan w:val="2"/>
            <w:shd w:val="clear" w:color="auto" w:fill="CCEC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1,317,896</w:t>
            </w:r>
          </w:p>
        </w:tc>
      </w:tr>
      <w:tr>
        <w:trPr>
          <w:trHeight w:val="2620"/>
        </w:trPr>
        <w:tc>
          <w:tcPr>
            <w:tcW w:w="4580" w:type="dxa"/>
            <w:vAlign w:val="bottom"/>
            <w:tcBorders>
              <w:top w:val="single" w:sz="8" w:color="CCECFF"/>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CCECFF"/>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-1988185</wp:posOffset>
            </wp:positionV>
            <wp:extent cx="368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-1713865</wp:posOffset>
            </wp:positionV>
            <wp:extent cx="368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-1696720</wp:posOffset>
            </wp:positionV>
            <wp:extent cx="368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HAIN CELESTIAL GROUP, INC. AND SUBSIDIARIES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CONSOLIDATED STATEMENT OF OPERATIONS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DECEMBER 31, 2025</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Accounting</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99"/>
        </w:trPr>
        <w:tc>
          <w:tcPr>
            <w:tcW w:w="448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C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752,003</w:t>
            </w:r>
          </w:p>
        </w:tc>
        <w:tc>
          <w:tcPr>
            <w:tcW w:w="820" w:type="dxa"/>
            <w:vAlign w:val="bottom"/>
            <w:gridSpan w:val="2"/>
            <w:shd w:val="clear" w:color="auto" w:fill="CCEC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(137,320)</w:t>
            </w:r>
          </w:p>
        </w:tc>
        <w:tc>
          <w:tcPr>
            <w:tcW w:w="8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614,683</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609,486</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(124,193)</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485,293</w:t>
            </w:r>
          </w:p>
        </w:tc>
        <w:tc>
          <w:tcPr>
            <w:tcW w:w="0" w:type="dxa"/>
            <w:vAlign w:val="bottom"/>
          </w:tcPr>
          <w:p>
            <w:pPr>
              <w:spacing w:after="0"/>
              <w:rPr>
                <w:sz w:val="1"/>
                <w:szCs w:val="1"/>
                <w:color w:val="auto"/>
              </w:rPr>
            </w:pPr>
          </w:p>
        </w:tc>
      </w:tr>
      <w:tr>
        <w:trPr>
          <w:trHeight w:val="196"/>
        </w:trPr>
        <w:tc>
          <w:tcPr>
            <w:tcW w:w="4480" w:type="dxa"/>
            <w:vAlign w:val="bottom"/>
            <w:tcBorders>
              <w:right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tcBorders>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142,517</w:t>
            </w:r>
          </w:p>
        </w:tc>
        <w:tc>
          <w:tcPr>
            <w:tcW w:w="560" w:type="dxa"/>
            <w:vAlign w:val="bottom"/>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(13,127)</w:t>
            </w:r>
          </w:p>
        </w:tc>
        <w:tc>
          <w:tcPr>
            <w:tcW w:w="560" w:type="dxa"/>
            <w:vAlign w:val="bottom"/>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spacing w:after="0"/>
              <w:rPr>
                <w:sz w:val="17"/>
                <w:szCs w:val="17"/>
                <w:color w:val="auto"/>
              </w:rPr>
            </w:pPr>
          </w:p>
        </w:tc>
        <w:tc>
          <w:tcPr>
            <w:tcW w:w="1580" w:type="dxa"/>
            <w:vAlign w:val="bottom"/>
            <w:tcBorders>
              <w:top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129,390</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126,415</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116,630</w:t>
            </w:r>
          </w:p>
        </w:tc>
        <w:tc>
          <w:tcPr>
            <w:tcW w:w="0" w:type="dxa"/>
            <w:vAlign w:val="bottom"/>
          </w:tcPr>
          <w:p>
            <w:pPr>
              <w:spacing w:after="0"/>
              <w:rPr>
                <w:sz w:val="1"/>
                <w:szCs w:val="1"/>
                <w:color w:val="auto"/>
              </w:rPr>
            </w:pPr>
          </w:p>
        </w:tc>
      </w:tr>
      <w:tr>
        <w:trPr>
          <w:trHeight w:val="203"/>
        </w:trPr>
        <w:tc>
          <w:tcPr>
            <w:tcW w:w="448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119,908</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119,908</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and long-lived asset impairment</w:t>
            </w: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11,917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11,917</w:t>
            </w:r>
          </w:p>
        </w:tc>
        <w:tc>
          <w:tcPr>
            <w:tcW w:w="0" w:type="dxa"/>
            <w:vAlign w:val="bottom"/>
          </w:tcPr>
          <w:p>
            <w:pPr>
              <w:spacing w:after="0"/>
              <w:rPr>
                <w:sz w:val="1"/>
                <w:szCs w:val="1"/>
                <w:color w:val="auto"/>
              </w:rPr>
            </w:pPr>
          </w:p>
        </w:tc>
      </w:tr>
      <w:tr>
        <w:trPr>
          <w:trHeight w:val="203"/>
        </w:trPr>
        <w:tc>
          <w:tcPr>
            <w:tcW w:w="448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Productivity and transformation costs</w:t>
            </w: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13,453</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6"/>
                <w:szCs w:val="16"/>
                <w:b w:val="1"/>
                <w:bCs w:val="1"/>
                <w:color w:val="auto"/>
              </w:rPr>
              <w:t>(a)</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13,437</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2,411</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2,411</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26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56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(25,900)</w:t>
            </w:r>
          </w:p>
        </w:tc>
        <w:tc>
          <w:tcPr>
            <w:tcW w:w="0" w:type="dxa"/>
            <w:vAlign w:val="bottom"/>
          </w:tcPr>
          <w:p>
            <w:pPr>
              <w:spacing w:after="0"/>
              <w:rPr>
                <w:sz w:val="1"/>
                <w:szCs w:val="1"/>
                <w:color w:val="auto"/>
              </w:rPr>
            </w:pPr>
          </w:p>
        </w:tc>
      </w:tr>
      <w:tr>
        <w:trPr>
          <w:trHeight w:val="196"/>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(109,013)</w:t>
            </w:r>
          </w:p>
        </w:tc>
        <w:tc>
          <w:tcPr>
            <w:tcW w:w="0" w:type="dxa"/>
            <w:vAlign w:val="bottom"/>
          </w:tcPr>
          <w:p>
            <w:pPr>
              <w:spacing w:after="0"/>
              <w:rPr>
                <w:sz w:val="1"/>
                <w:szCs w:val="1"/>
                <w:color w:val="auto"/>
              </w:rPr>
            </w:pPr>
          </w:p>
        </w:tc>
      </w:tr>
      <w:tr>
        <w:trPr>
          <w:trHeight w:val="203"/>
        </w:trPr>
        <w:tc>
          <w:tcPr>
            <w:tcW w:w="448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Interest and other financing expense (income), net</w:t>
            </w: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31,161</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8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6"/>
                <w:szCs w:val="16"/>
                <w:b w:val="1"/>
                <w:bCs w:val="1"/>
                <w:color w:val="auto"/>
              </w:rPr>
              <w:t>(e)</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27,326</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0" w:type="dxa"/>
            <w:vAlign w:val="bottom"/>
          </w:tcPr>
          <w:p>
            <w:pPr>
              <w:spacing w:after="0"/>
              <w:rPr>
                <w:sz w:val="1"/>
                <w:szCs w:val="1"/>
                <w:color w:val="auto"/>
              </w:rPr>
            </w:pPr>
          </w:p>
        </w:tc>
      </w:tr>
      <w:tr>
        <w:trPr>
          <w:trHeight w:val="182"/>
        </w:trPr>
        <w:tc>
          <w:tcPr>
            <w:tcW w:w="4480" w:type="dxa"/>
            <w:vAlign w:val="bottom"/>
            <w:tcBorders>
              <w:right w:val="single" w:sz="8" w:color="CCECFF"/>
            </w:tcBorders>
            <w:shd w:val="clear" w:color="auto" w:fill="CCECFF"/>
          </w:tcPr>
          <w:p>
            <w:pPr>
              <w:ind w:left="100"/>
              <w:spacing w:after="0" w:line="182" w:lineRule="exact"/>
              <w:rPr>
                <w:sz w:val="20"/>
                <w:szCs w:val="20"/>
                <w:color w:val="auto"/>
              </w:rPr>
            </w:pPr>
            <w:r>
              <w:rPr>
                <w:rFonts w:ascii="Times New Roman" w:cs="Times New Roman" w:eastAsia="Times New Roman" w:hAnsi="Times New Roman"/>
                <w:sz w:val="16"/>
                <w:szCs w:val="16"/>
                <w:color w:val="auto"/>
              </w:rPr>
              <w:t>(Loss) income before income taxes and equity in net loss of equity-</w:t>
            </w:r>
          </w:p>
        </w:tc>
        <w:tc>
          <w:tcPr>
            <w:tcW w:w="260" w:type="dxa"/>
            <w:vAlign w:val="bottom"/>
            <w:tcBorders>
              <w:top w:val="single" w:sz="8" w:color="auto"/>
            </w:tcBorders>
            <w:shd w:val="clear" w:color="auto" w:fill="CCECFF"/>
          </w:tcPr>
          <w:p>
            <w:pPr>
              <w:spacing w:after="0"/>
              <w:rPr>
                <w:sz w:val="15"/>
                <w:szCs w:val="15"/>
                <w:color w:val="auto"/>
              </w:rPr>
            </w:pPr>
          </w:p>
        </w:tc>
        <w:tc>
          <w:tcPr>
            <w:tcW w:w="16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(135,195)</w:t>
            </w:r>
          </w:p>
        </w:tc>
        <w:tc>
          <w:tcPr>
            <w:tcW w:w="560" w:type="dxa"/>
            <w:vAlign w:val="bottom"/>
            <w:shd w:val="clear" w:color="auto" w:fill="CCECFF"/>
          </w:tcPr>
          <w:p>
            <w:pPr>
              <w:spacing w:after="0"/>
              <w:rPr>
                <w:sz w:val="15"/>
                <w:szCs w:val="15"/>
                <w:color w:val="auto"/>
              </w:rPr>
            </w:pPr>
          </w:p>
        </w:tc>
        <w:tc>
          <w:tcPr>
            <w:tcW w:w="260" w:type="dxa"/>
            <w:vAlign w:val="bottom"/>
            <w:tcBorders>
              <w:top w:val="single" w:sz="8" w:color="auto"/>
            </w:tcBorders>
            <w:shd w:val="clear" w:color="auto" w:fill="CCECFF"/>
          </w:tcPr>
          <w:p>
            <w:pPr>
              <w:spacing w:after="0"/>
              <w:rPr>
                <w:sz w:val="15"/>
                <w:szCs w:val="15"/>
                <w:color w:val="auto"/>
              </w:rPr>
            </w:pPr>
          </w:p>
        </w:tc>
        <w:tc>
          <w:tcPr>
            <w:tcW w:w="1620" w:type="dxa"/>
            <w:vAlign w:val="bottom"/>
            <w:tcBorders>
              <w:top w:val="single" w:sz="8" w:color="auto"/>
            </w:tcBorders>
            <w:vMerge w:val="restart"/>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560" w:type="dxa"/>
            <w:vAlign w:val="bottom"/>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5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(134,683)</w:t>
            </w:r>
          </w:p>
        </w:tc>
        <w:tc>
          <w:tcPr>
            <w:tcW w:w="0" w:type="dxa"/>
            <w:vAlign w:val="bottom"/>
          </w:tcPr>
          <w:p>
            <w:pPr>
              <w:spacing w:after="0"/>
              <w:rPr>
                <w:sz w:val="1"/>
                <w:szCs w:val="1"/>
                <w:color w:val="auto"/>
              </w:rPr>
            </w:pPr>
          </w:p>
        </w:tc>
      </w:tr>
      <w:tr>
        <w:trPr>
          <w:trHeight w:val="102"/>
        </w:trPr>
        <w:tc>
          <w:tcPr>
            <w:tcW w:w="4480" w:type="dxa"/>
            <w:vAlign w:val="bottom"/>
            <w:tcBorders>
              <w:right w:val="single" w:sz="8" w:color="CCECFF"/>
            </w:tcBorders>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method investees</w:t>
            </w:r>
          </w:p>
        </w:tc>
        <w:tc>
          <w:tcPr>
            <w:tcW w:w="260" w:type="dxa"/>
            <w:vAlign w:val="bottom"/>
            <w:shd w:val="clear" w:color="auto" w:fill="CCECFF"/>
          </w:tcPr>
          <w:p>
            <w:pPr>
              <w:spacing w:after="0"/>
              <w:rPr>
                <w:sz w:val="8"/>
                <w:szCs w:val="8"/>
                <w:color w:val="auto"/>
              </w:rPr>
            </w:pPr>
          </w:p>
        </w:tc>
        <w:tc>
          <w:tcPr>
            <w:tcW w:w="1640" w:type="dxa"/>
            <w:vAlign w:val="bottom"/>
            <w:vMerge w:val="continue"/>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620" w:type="dxa"/>
            <w:vAlign w:val="bottom"/>
            <w:vMerge w:val="continue"/>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5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480" w:type="dxa"/>
            <w:vAlign w:val="bottom"/>
            <w:tcBorders>
              <w:right w:val="single" w:sz="8" w:color="CCECFF"/>
            </w:tcBorders>
            <w:vMerge w:val="continue"/>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64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6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15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1,130</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Equity in net loss of equity-method investees</w:t>
            </w:r>
          </w:p>
        </w:tc>
        <w:tc>
          <w:tcPr>
            <w:tcW w:w="26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56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5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(136,631)</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(136,119)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Borders>
              <w:right w:val="single" w:sz="8" w:color="CCECFF"/>
            </w:tcBorders>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Borders>
              <w:right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C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620" w:type="dxa"/>
            <w:vAlign w:val="bottom"/>
            <w:shd w:val="clear" w:color="auto" w:fill="CCECFF"/>
          </w:tcPr>
          <w:p>
            <w:pPr>
              <w:spacing w:after="0"/>
              <w:rPr>
                <w:sz w:val="19"/>
                <w:szCs w:val="19"/>
                <w:color w:val="auto"/>
              </w:rPr>
            </w:pPr>
          </w:p>
        </w:tc>
        <w:tc>
          <w:tcPr>
            <w:tcW w:w="840" w:type="dxa"/>
            <w:vAlign w:val="bottom"/>
            <w:gridSpan w:val="2"/>
            <w:shd w:val="clear" w:color="auto" w:fill="CCEC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62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Borders>
              <w:right w:val="single" w:sz="8" w:color="CCECFF"/>
            </w:tcBorders>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the calculation of net loss per common share:</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CFF"/>
              <w:right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CFF"/>
          </w:tcPr>
          <w:p>
            <w:pPr>
              <w:spacing w:after="0"/>
              <w:rPr>
                <w:sz w:val="21"/>
                <w:szCs w:val="21"/>
                <w:color w:val="auto"/>
              </w:rPr>
            </w:pPr>
          </w:p>
        </w:tc>
        <w:tc>
          <w:tcPr>
            <w:tcW w:w="1640" w:type="dxa"/>
            <w:vAlign w:val="bottom"/>
            <w:tcBorders>
              <w:bottom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90,482</w:t>
            </w:r>
          </w:p>
        </w:tc>
        <w:tc>
          <w:tcPr>
            <w:tcW w:w="5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spacing w:after="0"/>
              <w:rPr>
                <w:sz w:val="21"/>
                <w:szCs w:val="21"/>
                <w:color w:val="auto"/>
              </w:rPr>
            </w:pPr>
          </w:p>
        </w:tc>
        <w:tc>
          <w:tcPr>
            <w:tcW w:w="1620" w:type="dxa"/>
            <w:vAlign w:val="bottom"/>
            <w:tcBorders>
              <w:bottom w:val="single" w:sz="8" w:color="CCECFF"/>
            </w:tcBorders>
            <w:shd w:val="clear" w:color="auto" w:fill="CCECFF"/>
          </w:tcPr>
          <w:p>
            <w:pPr>
              <w:spacing w:after="0"/>
              <w:rPr>
                <w:sz w:val="21"/>
                <w:szCs w:val="21"/>
                <w:color w:val="auto"/>
              </w:rPr>
            </w:pPr>
          </w:p>
        </w:tc>
        <w:tc>
          <w:tcPr>
            <w:tcW w:w="56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15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90,482</w:t>
            </w:r>
          </w:p>
        </w:tc>
        <w:tc>
          <w:tcPr>
            <w:tcW w:w="0" w:type="dxa"/>
            <w:vAlign w:val="bottom"/>
          </w:tcPr>
          <w:p>
            <w:pPr>
              <w:spacing w:after="0"/>
              <w:rPr>
                <w:sz w:val="1"/>
                <w:szCs w:val="1"/>
                <w:color w:val="auto"/>
              </w:rPr>
            </w:pPr>
          </w:p>
        </w:tc>
      </w:tr>
      <w:tr>
        <w:trPr>
          <w:trHeight w:val="183"/>
        </w:trPr>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90,482</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90,482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4033520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-2211070</wp:posOffset>
            </wp:positionV>
            <wp:extent cx="3600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-2211070</wp:posOffset>
            </wp:positionV>
            <wp:extent cx="351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-1294130</wp:posOffset>
            </wp:positionV>
            <wp:extent cx="360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-1294130</wp:posOffset>
            </wp:positionV>
            <wp:extent cx="351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-745490</wp:posOffset>
            </wp:positionV>
            <wp:extent cx="3600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-727710</wp:posOffset>
            </wp:positionV>
            <wp:extent cx="3600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3600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-162560</wp:posOffset>
            </wp:positionV>
            <wp:extent cx="3600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HAIN CELESTIAL GROUP, INC. AND SUBSIDIARIES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CONSOLIDATED STATEMENT OF OPERATIONS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ENDED JUNE 30, 2025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Accounting</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99"/>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1,559,780</w:t>
            </w:r>
          </w:p>
        </w:tc>
        <w:tc>
          <w:tcPr>
            <w:tcW w:w="820" w:type="dxa"/>
            <w:vAlign w:val="bottom"/>
            <w:gridSpan w:val="2"/>
            <w:shd w:val="clear" w:color="auto" w:fill="CCEC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(336,007)</w:t>
            </w: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1,223,773</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1,225,722</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(286,758)</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938,964</w:t>
            </w:r>
          </w:p>
        </w:tc>
        <w:tc>
          <w:tcPr>
            <w:tcW w:w="0" w:type="dxa"/>
            <w:vAlign w:val="bottom"/>
          </w:tcPr>
          <w:p>
            <w:pPr>
              <w:spacing w:after="0"/>
              <w:rPr>
                <w:sz w:val="1"/>
                <w:szCs w:val="1"/>
                <w:color w:val="auto"/>
              </w:rPr>
            </w:pPr>
          </w:p>
        </w:tc>
      </w:tr>
      <w:tr>
        <w:trPr>
          <w:trHeight w:val="196"/>
        </w:trPr>
        <w:tc>
          <w:tcPr>
            <w:tcW w:w="4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40" w:type="dxa"/>
            <w:vAlign w:val="bottom"/>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334,058</w:t>
            </w:r>
          </w:p>
        </w:tc>
        <w:tc>
          <w:tcPr>
            <w:tcW w:w="560" w:type="dxa"/>
            <w:vAlign w:val="bottom"/>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(49,249)</w:t>
            </w:r>
          </w:p>
        </w:tc>
        <w:tc>
          <w:tcPr>
            <w:tcW w:w="560" w:type="dxa"/>
            <w:vAlign w:val="bottom"/>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spacing w:after="0"/>
              <w:rPr>
                <w:sz w:val="17"/>
                <w:szCs w:val="17"/>
                <w:color w:val="auto"/>
              </w:rPr>
            </w:pPr>
          </w:p>
        </w:tc>
        <w:tc>
          <w:tcPr>
            <w:tcW w:w="1580" w:type="dxa"/>
            <w:vAlign w:val="bottom"/>
            <w:tcBorders>
              <w:top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284,809</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271,833</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(18,785)</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 (b)</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253,048</w:t>
            </w:r>
          </w:p>
        </w:tc>
        <w:tc>
          <w:tcPr>
            <w:tcW w:w="0" w:type="dxa"/>
            <w:vAlign w:val="bottom"/>
          </w:tcPr>
          <w:p>
            <w:pPr>
              <w:spacing w:after="0"/>
              <w:rPr>
                <w:sz w:val="1"/>
                <w:szCs w:val="1"/>
                <w:color w:val="auto"/>
              </w:rPr>
            </w:pPr>
          </w:p>
        </w:tc>
      </w:tr>
      <w:tr>
        <w:trPr>
          <w:trHeight w:val="203"/>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428,882</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428,882</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Intangibles and long-lived asset impairment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66,940</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(18,198)</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48,742</w:t>
            </w:r>
          </w:p>
        </w:tc>
        <w:tc>
          <w:tcPr>
            <w:tcW w:w="0" w:type="dxa"/>
            <w:vAlign w:val="bottom"/>
          </w:tcPr>
          <w:p>
            <w:pPr>
              <w:spacing w:after="0"/>
              <w:rPr>
                <w:sz w:val="1"/>
                <w:szCs w:val="1"/>
                <w:color w:val="auto"/>
              </w:rPr>
            </w:pPr>
          </w:p>
        </w:tc>
      </w:tr>
      <w:tr>
        <w:trPr>
          <w:trHeight w:val="203"/>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Productivity and transformation costs</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21,530</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840" w:type="dxa"/>
            <w:vAlign w:val="bottom"/>
            <w:gridSpan w:val="2"/>
            <w:shd w:val="clear" w:color="auto" w:fill="CCEC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20,647</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6,476</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6,476</w:t>
            </w:r>
          </w:p>
        </w:tc>
        <w:tc>
          <w:tcPr>
            <w:tcW w:w="0" w:type="dxa"/>
            <w:vAlign w:val="bottom"/>
          </w:tcPr>
          <w:p>
            <w:pPr>
              <w:spacing w:after="0"/>
              <w:rPr>
                <w:sz w:val="1"/>
                <w:szCs w:val="1"/>
                <w:color w:val="auto"/>
              </w:rPr>
            </w:pPr>
          </w:p>
        </w:tc>
      </w:tr>
      <w:tr>
        <w:trPr>
          <w:trHeight w:val="196"/>
        </w:trPr>
        <w:tc>
          <w:tcPr>
            <w:tcW w:w="4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Operating loss</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(461,603)</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5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(472,986)</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financing expense (income), net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51,253</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43,759</w:t>
            </w:r>
          </w:p>
        </w:tc>
        <w:tc>
          <w:tcPr>
            <w:tcW w:w="0" w:type="dxa"/>
            <w:vAlign w:val="bottom"/>
          </w:tcPr>
          <w:p>
            <w:pPr>
              <w:spacing w:after="0"/>
              <w:rPr>
                <w:sz w:val="1"/>
                <w:szCs w:val="1"/>
                <w:color w:val="auto"/>
              </w:rPr>
            </w:pPr>
          </w:p>
        </w:tc>
      </w:tr>
      <w:tr>
        <w:trPr>
          <w:trHeight w:val="257"/>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875</w:t>
            </w:r>
          </w:p>
        </w:tc>
        <w:tc>
          <w:tcPr>
            <w:tcW w:w="56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6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49,608</w:t>
            </w:r>
          </w:p>
        </w:tc>
        <w:tc>
          <w:tcPr>
            <w:tcW w:w="840" w:type="dxa"/>
            <w:vAlign w:val="bottom"/>
            <w:gridSpan w:val="2"/>
            <w:shd w:val="clear" w:color="auto" w:fill="CCEC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 (c),</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50,483</w:t>
            </w:r>
          </w:p>
        </w:tc>
        <w:tc>
          <w:tcPr>
            <w:tcW w:w="0" w:type="dxa"/>
            <w:vAlign w:val="bottom"/>
          </w:tcPr>
          <w:p>
            <w:pPr>
              <w:spacing w:after="0"/>
              <w:rPr>
                <w:sz w:val="1"/>
                <w:szCs w:val="1"/>
                <w:color w:val="auto"/>
              </w:rPr>
            </w:pPr>
          </w:p>
        </w:tc>
      </w:tr>
      <w:tr>
        <w:trPr>
          <w:trHeight w:val="148"/>
        </w:trPr>
        <w:tc>
          <w:tcPr>
            <w:tcW w:w="44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6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62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center"/>
              <w:ind w:right="280"/>
              <w:spacing w:after="0" w:line="148" w:lineRule="exact"/>
              <w:rPr>
                <w:sz w:val="20"/>
                <w:szCs w:val="20"/>
                <w:color w:val="auto"/>
              </w:rPr>
            </w:pPr>
            <w:r>
              <w:rPr>
                <w:rFonts w:ascii="Times New Roman" w:cs="Times New Roman" w:eastAsia="Times New Roman" w:hAnsi="Times New Roman"/>
                <w:sz w:val="16"/>
                <w:szCs w:val="16"/>
                <w:b w:val="1"/>
                <w:bCs w:val="1"/>
                <w:color w:val="auto"/>
              </w:rPr>
              <w:t>(d)</w:t>
            </w:r>
          </w:p>
        </w:tc>
        <w:tc>
          <w:tcPr>
            <w:tcW w:w="15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40" w:type="dxa"/>
            <w:vAlign w:val="bottom"/>
            <w:tcBorders>
              <w:top w:val="single" w:sz="8" w:color="CCECFF"/>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Loss before income taxes and equity in net loss of equity-method</w:t>
            </w:r>
          </w:p>
        </w:tc>
        <w:tc>
          <w:tcPr>
            <w:tcW w:w="40" w:type="dxa"/>
            <w:vAlign w:val="bottom"/>
            <w:tcBorders>
              <w:top w:val="single" w:sz="8" w:color="CCEC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(513,731)</w:t>
            </w:r>
          </w:p>
        </w:tc>
        <w:tc>
          <w:tcPr>
            <w:tcW w:w="560" w:type="dxa"/>
            <w:vAlign w:val="bottom"/>
            <w:tcBorders>
              <w:top w:val="single" w:sz="8" w:color="CCEC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560" w:type="dxa"/>
            <w:vAlign w:val="bottom"/>
            <w:tcBorders>
              <w:top w:val="single" w:sz="8" w:color="CCEC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(567,228)</w:t>
            </w:r>
          </w:p>
        </w:tc>
        <w:tc>
          <w:tcPr>
            <w:tcW w:w="0" w:type="dxa"/>
            <w:vAlign w:val="bottom"/>
          </w:tcPr>
          <w:p>
            <w:pPr>
              <w:spacing w:after="0"/>
              <w:rPr>
                <w:sz w:val="1"/>
                <w:szCs w:val="1"/>
                <w:color w:val="auto"/>
              </w:rPr>
            </w:pPr>
          </w:p>
        </w:tc>
      </w:tr>
      <w:tr>
        <w:trPr>
          <w:trHeight w:val="102"/>
        </w:trPr>
        <w:tc>
          <w:tcPr>
            <w:tcW w:w="4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investees</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4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15,297</w:t>
            </w: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58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15,297</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loss of equity-method investees</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1,813</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236"/>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(530,841)</w:t>
            </w:r>
          </w:p>
        </w:tc>
        <w:tc>
          <w:tcPr>
            <w:tcW w:w="820" w:type="dxa"/>
            <w:vAlign w:val="bottom"/>
            <w:gridSpan w:val="2"/>
            <w:shd w:val="clear" w:color="auto" w:fill="CCEC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(584,338)</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CFF"/>
            </w:tcBorders>
          </w:tcPr>
          <w:p>
            <w:pPr>
              <w:spacing w:after="0"/>
              <w:rPr>
                <w:sz w:val="15"/>
                <w:szCs w:val="15"/>
                <w:color w:val="auto"/>
              </w:rPr>
            </w:pPr>
          </w:p>
        </w:tc>
        <w:tc>
          <w:tcPr>
            <w:tcW w:w="40" w:type="dxa"/>
            <w:vAlign w:val="bottom"/>
            <w:tcBorders>
              <w:top w:val="single" w:sz="8" w:color="CCEC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560" w:type="dxa"/>
            <w:vAlign w:val="bottom"/>
            <w:tcBorders>
              <w:top w:val="single" w:sz="8" w:color="CCEC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560" w:type="dxa"/>
            <w:vAlign w:val="bottom"/>
            <w:tcBorders>
              <w:top w:val="single" w:sz="8" w:color="CCEC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Net loss per common share:</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5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5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62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CFF"/>
            </w:tcBorders>
          </w:tcPr>
          <w:p>
            <w:pPr>
              <w:spacing w:after="0"/>
              <w:rPr>
                <w:sz w:val="15"/>
                <w:szCs w:val="15"/>
                <w:color w:val="auto"/>
              </w:rPr>
            </w:pPr>
          </w:p>
        </w:tc>
        <w:tc>
          <w:tcPr>
            <w:tcW w:w="40" w:type="dxa"/>
            <w:vAlign w:val="bottom"/>
            <w:tcBorders>
              <w:top w:val="single" w:sz="8" w:color="CCEC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560" w:type="dxa"/>
            <w:vAlign w:val="bottom"/>
            <w:tcBorders>
              <w:top w:val="single" w:sz="8" w:color="CCECFF"/>
            </w:tcBorders>
          </w:tcPr>
          <w:p>
            <w:pPr>
              <w:spacing w:after="0"/>
              <w:rPr>
                <w:sz w:val="15"/>
                <w:szCs w:val="15"/>
                <w:color w:val="auto"/>
              </w:rPr>
            </w:pPr>
          </w:p>
        </w:tc>
        <w:tc>
          <w:tcPr>
            <w:tcW w:w="260" w:type="dxa"/>
            <w:vAlign w:val="bottom"/>
            <w:tcBorders>
              <w:top w:val="single" w:sz="8" w:color="CCECFF"/>
            </w:tcBorders>
          </w:tcPr>
          <w:p>
            <w:pPr>
              <w:spacing w:after="0"/>
              <w:rPr>
                <w:sz w:val="15"/>
                <w:szCs w:val="15"/>
                <w:color w:val="auto"/>
              </w:rPr>
            </w:pPr>
          </w:p>
        </w:tc>
        <w:tc>
          <w:tcPr>
            <w:tcW w:w="1620" w:type="dxa"/>
            <w:vAlign w:val="bottom"/>
            <w:tcBorders>
              <w:top w:val="single" w:sz="8" w:color="CCECFF"/>
            </w:tcBorders>
          </w:tcPr>
          <w:p>
            <w:pPr>
              <w:spacing w:after="0"/>
              <w:rPr>
                <w:sz w:val="15"/>
                <w:szCs w:val="15"/>
                <w:color w:val="auto"/>
              </w:rPr>
            </w:pPr>
          </w:p>
        </w:tc>
        <w:tc>
          <w:tcPr>
            <w:tcW w:w="560" w:type="dxa"/>
            <w:vAlign w:val="bottom"/>
            <w:tcBorders>
              <w:top w:val="single" w:sz="8" w:color="CCEC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Shares used in the calculation of net loss per common share:</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5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90,127</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90,127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1640" w:type="dxa"/>
            <w:vAlign w:val="bottom"/>
            <w:tcBorders>
              <w:bottom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rPr>
              <w:t>90,127</w:t>
            </w:r>
          </w:p>
        </w:tc>
        <w:tc>
          <w:tcPr>
            <w:tcW w:w="5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spacing w:after="0"/>
              <w:rPr>
                <w:sz w:val="19"/>
                <w:szCs w:val="19"/>
                <w:color w:val="auto"/>
              </w:rPr>
            </w:pPr>
          </w:p>
        </w:tc>
        <w:tc>
          <w:tcPr>
            <w:tcW w:w="1620" w:type="dxa"/>
            <w:vAlign w:val="bottom"/>
            <w:tcBorders>
              <w:bottom w:val="single" w:sz="8" w:color="CCECFF"/>
            </w:tcBorders>
            <w:shd w:val="clear" w:color="auto" w:fill="CCECFF"/>
          </w:tcPr>
          <w:p>
            <w:pPr>
              <w:spacing w:after="0"/>
              <w:rPr>
                <w:sz w:val="19"/>
                <w:szCs w:val="19"/>
                <w:color w:val="auto"/>
              </w:rPr>
            </w:pPr>
          </w:p>
        </w:tc>
        <w:tc>
          <w:tcPr>
            <w:tcW w:w="56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58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6"/>
                <w:szCs w:val="16"/>
                <w:color w:val="auto"/>
              </w:rPr>
              <w:t>90,127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-1816735</wp:posOffset>
            </wp:positionV>
            <wp:extent cx="360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-1816735</wp:posOffset>
            </wp:positionV>
            <wp:extent cx="351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-1156335</wp:posOffset>
            </wp:positionV>
            <wp:extent cx="3600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-1139190</wp:posOffset>
            </wp:positionV>
            <wp:extent cx="3600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-1156335</wp:posOffset>
            </wp:positionV>
            <wp:extent cx="351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-1139190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-590550</wp:posOffset>
            </wp:positionV>
            <wp:extent cx="3600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-574040</wp:posOffset>
            </wp:positionV>
            <wp:extent cx="360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3600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3600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Statements</w:t>
      </w:r>
    </w:p>
    <w:p>
      <w:pPr>
        <w:spacing w:after="0" w:line="333"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financial statements are prepared in accordance with Article 11 of SEC Regulation S-X. The pro forma adjustments are described in the accompanying notes and are based upon and derived from information and assumptions available at the time of filing the Current Report on Form 8-K to which these financial statements and related notes are attached as an exhibit.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based on financial statements prepared in accordance with U.S. GAAP, which are subject to change and interpretation. The unaudited pro forma consolidated financial statements were based on and derived from our historical consolidated financial statements, adjusted for certain transaction accounting adjustments. The unaudited pro forma consolidated financial information does not give effect to any anticipated synergies, operating efficiencies, tax savings or cost savings that may be associated with the Transaction.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based upon available information and assumptions that management considers to be reasonable, and such assumptions have been made solely for purposes of developing such unaudited pro forma consolidated financial information for illustrative purposes in compliance with the disclosure requirements of the SEC. The unaudited pro forma consolidated financial information is not necessarily indicative of what the financial position or statements of operations results would have actually been had the Transaction occurred on the dates indicated. In addition, these unaudited pro forma consolidated financial statements should not be considered to be indicative of our future consolidated financial performance and statement of operations results.</w:t>
      </w:r>
    </w:p>
    <w:p>
      <w:pPr>
        <w:spacing w:after="0" w:line="29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pro forma accounting adjustments reflected in the unaudited pro forma consolidated balance sheet:</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North American Snacks business assets and liabilities that Hain is transferring in connection with the Transaction.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$111.2 million of cash consideration received from Snackruptors from the disposal of the North American Snacks business, which reflects the holdback of an estimate for a customary inventory adjustment, which is subject to finalization under the terms of the Purchase Agreement.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2025, Hain anticipates it will incur additional non-recurring costs of approximately $7.7 million to complete the Transaction. These costs primarily relate to transaction advisory and professional fees and will not affect the consolidated statement of operations beyond twelve months after the closing of the Transaction.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net cash proceeds of $101.1 million (net of transaction costs and taxes) used to repay a portion of Hain's Term Loans (as defined in the Form 10-Q).</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estimated $0.6 million of deferred financing costs expected to be written off in connection with the estimated Term Loan repayment.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effects of the related balance sheet pro forma adjustments resulting from the Transaction. For purposes of presenting the unaudited pro forma consolidated financial information, Hain assumes that federal and state income taxes will be insignificant due to available tax attributes that are expected to fully offset federal and state tax liabilities, and anticipates maintaining a valuation allowance position following the disposition.</w:t>
      </w:r>
    </w:p>
    <w:p>
      <w:pPr>
        <w:spacing w:after="0" w:line="28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Consolidated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pro forma accounting adjustments reflected in the unaudited pro forma consolidated statement of operations:</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net sales and direct costs related to the North American Snacks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2025, Hain anticipates it will incur additional non-recurring costs of approximately $7.7 million to complete the Transaction. These costs primarily relate to transaction advisory and professional fees.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estimated loss of $59.3 million related to the Transaction. The actual loss recorded may be subject to change and will be based on amounts as of the closing date.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Hain entered into a transition services agreement whereby Hain will provide certain post-closing services to Snackruptors on a transitional basis. As such, a pro forma adjustment has been recorded for services to be provided by Hain to Snackruptors to reflect this contractual arrangement. The term of this arrangement is nine months following close and therefore has no impact to the six months ended December 31, 2025. This contractual arrangement is subject to early termination or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ind w:left="503"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$3.8 million and $7.5 million of interest expense in the unaudited pro forma consolidated statement of operations for the six months ended December 31, 2025 and fiscal year ended June 30, 2025, respectively, to give effect to the estimated repayment of Term Loans and the write-off of deferred financing costs.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effects of the pro forma adjustments calculated using the applicable statutory tax rates in effect within the respective jurisdictions during the periods presented, net of any anticipated impacts to Hain’s U.S. and state valuation allowance position. Accordingly, no income tax expense (benefit) has been reflected in the transaction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590550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87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14" Type="http://schemas.openxmlformats.org/officeDocument/2006/relationships/hyperlink" Target="https://www.sec.gov/Archives/edgar/data/910406/000119312526032725/hain-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2026-03-04T15:14:22Z</dcterms:created>
  <dcterms:modified xsi:type="dcterms:W3CDTF">2026-03-04T15:14:22Z</dcterms:modified>
</cp:coreProperties>
</file>