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405765</wp:posOffset>
            </wp:positionV>
            <wp:extent cx="1423035" cy="1062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HAIN CELESTIAL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473075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0-22818</w:t>
            </w: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22-3240619</w:t>
            </w:r>
          </w:p>
        </w:tc>
      </w:tr>
      <w:tr>
        <w:trPr>
          <w:trHeight w:val="216"/>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8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221 River Street,</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Hoboken, New Jersey</w:t>
            </w:r>
          </w:p>
        </w:tc>
        <w:tc>
          <w:tcPr>
            <w:tcW w:w="2860" w:type="dxa"/>
            <w:vAlign w:val="bottom"/>
          </w:tcPr>
          <w:p>
            <w:pPr>
              <w:spacing w:after="0"/>
              <w:rPr>
                <w:sz w:val="18"/>
                <w:szCs w:val="18"/>
                <w:color w:val="auto"/>
              </w:rPr>
            </w:pP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07030</w:t>
            </w:r>
          </w:p>
        </w:tc>
      </w:tr>
      <w:tr>
        <w:trPr>
          <w:trHeight w:val="238"/>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6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3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587-5000</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-305435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1" w:lineRule="exact"/>
        <w:rPr>
          <w:sz w:val="24"/>
          <w:szCs w:val="24"/>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HAIN</w:t>
            </w:r>
          </w:p>
        </w:tc>
        <w:tc>
          <w:tcPr>
            <w:tcW w:w="1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86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11, 2026, The Hain Celestial Group, Inc. (the “Company”) issued a press release announcing financial results for its third quarter ended March 31, 2026. A copy of the press release is furnished as Exhibit 99.1 hereto.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attached hereto, is being furnished and shall not be deemed to be “filed” for purposes of Section 18 of the Securities Exchange Act of 1934, as amended (the “Exchange Act”), or otherwise subject to the liabilities of that section, or incorporated by reference into any filing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gridSpan w:val="3"/>
          </w:tcPr>
          <w:p>
            <w:pPr>
              <w:ind w:left="432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46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4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The Hain Celestial Group, Inc. dated May 11, 2026</w:t>
            </w:r>
          </w:p>
        </w:tc>
        <w:tc>
          <w:tcPr>
            <w:tcW w:w="20" w:type="dxa"/>
            <w:vAlign w:val="bottom"/>
            <w:tcBorders>
              <w:bottom w:val="single" w:sz="8" w:color="0000EE"/>
            </w:tcBorders>
          </w:tcPr>
          <w:p>
            <w:pPr>
              <w:spacing w:after="0"/>
              <w:rPr>
                <w:sz w:val="14"/>
                <w:szCs w:val="14"/>
                <w:color w:val="auto"/>
              </w:rPr>
            </w:pPr>
          </w:p>
        </w:tc>
        <w:tc>
          <w:tcPr>
            <w:tcW w:w="4560" w:type="dxa"/>
            <w:vAlign w:val="bottom"/>
          </w:tcPr>
          <w:p>
            <w:pPr>
              <w:spacing w:after="0"/>
              <w:rPr>
                <w:sz w:val="14"/>
                <w:szCs w:val="14"/>
                <w:color w:val="auto"/>
              </w:rPr>
            </w:pPr>
          </w:p>
        </w:tc>
      </w:tr>
      <w:tr>
        <w:trPr>
          <w:trHeight w:val="237"/>
        </w:trPr>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THE HAIN CELESTIAL GROUP,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w:t>
        <w:tab/>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Lee A. Boyce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8890</wp:posOffset>
            </wp:positionV>
            <wp:extent cx="1242695" cy="977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269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Hain Celestial Reports Fiscal Third Quarter 2026 Financial Results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Generated $38 million in cash from operations and reduced total debt by $155 million in 3Q</w:t>
      </w: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HOBOKEN, N.J., May 11, 2026 — </w:t>
      </w:r>
      <w:r>
        <w:rPr>
          <w:rFonts w:ascii="Arial" w:cs="Arial" w:eastAsia="Arial" w:hAnsi="Arial"/>
          <w:sz w:val="18"/>
          <w:szCs w:val="18"/>
          <w:color w:val="auto"/>
        </w:rPr>
        <w:t>The Hain Celestial Group, Inc. (Nasdaq: HAIN), a leading global health and wellness company whose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is to inspire healthier living through better-for-you brands, today reported financial results for its fiscal third quarter ended March 31, 2026.</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“Third quarter results reflect improving execution and financial discipline as we continued to strengthen our foundation and advance our turnaround strategy. Strong cash generation and debt reduction materially improved our financial position, while the completion of the North American snacks divestiture further enhances our margin and cash flow profile going forward. In North America, our core business remains resilient, and we are making progress in addressing stranded costs. Our near-term priorities remain the same: optimize cash, strengthen the balance sheet, improve profitability, and stabilize sales, while our five actions to win position Hain for sustainable, profitable growth,” stated Alison Lewis, President and CEO.</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r>
        <w:rPr>
          <w:rFonts w:ascii="Arial" w:cs="Arial" w:eastAsia="Arial" w:hAnsi="Arial"/>
          <w:sz w:val="24"/>
          <w:szCs w:val="24"/>
          <w:b w:val="1"/>
          <w:bCs w:val="1"/>
          <w:color w:val="auto"/>
          <w:vertAlign w:val="superscript"/>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Fiscal Third Quarter Results Compared to the Prior Year Period</w:t>
      </w:r>
    </w:p>
    <w:p>
      <w:pPr>
        <w:spacing w:after="0" w:line="19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were $338 million, down 13% year-over-year.</w:t>
      </w:r>
    </w:p>
    <w:p>
      <w:pPr>
        <w:spacing w:after="0" w:line="26" w:lineRule="exact"/>
        <w:rPr>
          <w:sz w:val="20"/>
          <w:szCs w:val="20"/>
          <w:color w:val="auto"/>
        </w:rPr>
      </w:pPr>
    </w:p>
    <w:p>
      <w:pPr>
        <w:ind w:left="1500" w:hanging="369"/>
        <w:spacing w:after="0"/>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Organic net sales decreased 6% compared to the prior year period.</w:t>
      </w:r>
    </w:p>
    <w:p>
      <w:pPr>
        <w:spacing w:after="0" w:line="8" w:lineRule="exact"/>
        <w:rPr>
          <w:rFonts w:ascii="Times New Roman" w:cs="Times New Roman" w:eastAsia="Times New Roman" w:hAnsi="Times New Roman"/>
          <w:sz w:val="18"/>
          <w:szCs w:val="18"/>
          <w:color w:val="auto"/>
        </w:rPr>
      </w:pPr>
    </w:p>
    <w:p>
      <w:pPr>
        <w:ind w:left="2260" w:hanging="380"/>
        <w:spacing w:after="0" w:line="234" w:lineRule="auto"/>
        <w:tabs>
          <w:tab w:leader="none" w:pos="2260"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decrease in organic net sales was comprised of an 11-point decrease in volume/mix, partially offset by a 5-point increase in pricing.</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margin was 20.8%, a 90-basis point decrease from the prior year period.</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gross profit margin was 21.0%, a 90-basis point decrease from the prior year period.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$106 million, compared to a net loss of $135 million in the prior year period.</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included a pre-tax loss on sale of $51 million related to the sale of our North American snacks business.</w:t>
      </w:r>
    </w:p>
    <w:p>
      <w:pPr>
        <w:spacing w:after="0" w:line="8" w:lineRule="exact"/>
        <w:rPr>
          <w:rFonts w:ascii="Times New Roman" w:cs="Times New Roman" w:eastAsia="Times New Roman" w:hAnsi="Times New Roman"/>
          <w:sz w:val="18"/>
          <w:szCs w:val="18"/>
          <w:color w:val="auto"/>
        </w:rPr>
      </w:pPr>
    </w:p>
    <w:p>
      <w:pPr>
        <w:ind w:left="1500" w:right="40" w:hanging="369"/>
        <w:spacing w:after="0" w:line="234"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included pre-tax non-cash impairment charges of $46 million ($45 million after-tax) related to goodwill and certain intangible assets, as well as assets held for sale.</w:t>
      </w:r>
    </w:p>
    <w:p>
      <w:pPr>
        <w:ind w:left="1500" w:hanging="369"/>
        <w:spacing w:after="0"/>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net loss was $1 million, compared to adjusted net income of $6 million in the prior year period.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$26 million, compared to $34 million in the prior year period.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Loss per diluted share was $1.17, compared to a loss per diluted share of $1.49 in the prior year period.</w:t>
      </w:r>
    </w:p>
    <w:p>
      <w:pPr>
        <w:spacing w:after="0" w:line="8" w:lineRule="exact"/>
        <w:rPr>
          <w:rFonts w:ascii="Times New Roman" w:cs="Times New Roman" w:eastAsia="Times New Roman" w:hAnsi="Times New Roman"/>
          <w:sz w:val="18"/>
          <w:szCs w:val="18"/>
          <w:color w:val="auto"/>
        </w:rPr>
      </w:pPr>
    </w:p>
    <w:p>
      <w:pPr>
        <w:ind w:left="1500" w:right="20" w:hanging="369"/>
        <w:spacing w:after="0" w:line="249"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loss per diluted share was $0.01, compared to adjusted earnings per diluted share of $0.07 in the prior year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Balance Sheet Highlights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49"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*This press release includes certain non-GAAP financial measures, which are intended to supplement, not substitute for, comparable GAAP financial measures. Reconciliations of non-GAAP financial measures to GAAP financial measures and other non-GAAP financial calculations are provided in the tables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80"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Net cash provided by operating activities was $38 million in the fiscal third quarter, compared to $5 million in the prior year period.</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was $35 million in the fiscal third quarter, compared to an outflow of $2 million in the prior year period.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Total debt was $549 million at the end of the fiscal third quarter, down from $705 million at the beginning of the fiscal year.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Net debt was $505 million at the end of the fiscal third quarter, compared to $650 million at the beginning of the fiscal year.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ended the fiscal third quarter with a net secured leverage ratio of 4.3x as calculated under our credit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two reportable segments: North America and International.</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20" w:type="dxa"/>
            <w:vAlign w:val="bottom"/>
            <w:tcBorders>
              <w:top w:val="single" w:sz="8" w:color="auto"/>
              <w:left w:val="single" w:sz="8" w:color="auto"/>
              <w:right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Net Sales</w:t>
            </w:r>
          </w:p>
        </w:tc>
        <w:tc>
          <w:tcPr>
            <w:tcW w:w="10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Q3 FY26</w:t>
            </w:r>
          </w:p>
        </w:tc>
        <w:tc>
          <w:tcPr>
            <w:tcW w:w="9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870"/>
              <w:spacing w:after="0" w:line="196" w:lineRule="exact"/>
              <w:rPr>
                <w:sz w:val="20"/>
                <w:szCs w:val="20"/>
                <w:color w:val="auto"/>
              </w:rPr>
            </w:pPr>
            <w:r>
              <w:rPr>
                <w:rFonts w:ascii="Arial" w:cs="Arial" w:eastAsia="Arial" w:hAnsi="Arial"/>
                <w:sz w:val="18"/>
                <w:szCs w:val="18"/>
                <w:b w:val="1"/>
                <w:bCs w:val="1"/>
                <w:color w:val="auto"/>
                <w:w w:val="99"/>
              </w:rPr>
              <w:t>Q3 FY26 YTD</w:t>
            </w:r>
          </w:p>
        </w:tc>
        <w:tc>
          <w:tcPr>
            <w:tcW w:w="9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20" w:type="dxa"/>
            <w:vAlign w:val="bottom"/>
            <w:tcBorders>
              <w:left w:val="single" w:sz="8" w:color="auto"/>
              <w:right w:val="single" w:sz="8" w:color="auto"/>
            </w:tcBorders>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 Millions</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Reported</w:t>
            </w:r>
          </w:p>
        </w:tc>
        <w:tc>
          <w:tcPr>
            <w:tcW w:w="960" w:type="dxa"/>
            <w:vAlign w:val="bottom"/>
          </w:tcPr>
          <w:p>
            <w:pPr>
              <w:jc w:val="center"/>
              <w:spacing w:after="0" w:line="156" w:lineRule="exact"/>
              <w:rPr>
                <w:sz w:val="20"/>
                <w:szCs w:val="20"/>
                <w:color w:val="auto"/>
              </w:rPr>
            </w:pPr>
            <w:r>
              <w:rPr>
                <w:rFonts w:ascii="Arial" w:cs="Arial" w:eastAsia="Arial" w:hAnsi="Arial"/>
                <w:sz w:val="18"/>
                <w:szCs w:val="18"/>
                <w:color w:val="auto"/>
                <w:w w:val="99"/>
              </w:rPr>
              <w:t>M&amp;A/Exit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FX Impact</w:t>
            </w:r>
          </w:p>
        </w:tc>
        <w:tc>
          <w:tcPr>
            <w:tcW w:w="10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8"/>
              </w:rPr>
              <w:t>Organic</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 Millions</w:t>
            </w:r>
          </w:p>
        </w:tc>
        <w:tc>
          <w:tcPr>
            <w:tcW w:w="10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Reported</w:t>
            </w:r>
          </w:p>
        </w:tc>
        <w:tc>
          <w:tcPr>
            <w:tcW w:w="1060" w:type="dxa"/>
            <w:vAlign w:val="bottom"/>
          </w:tcPr>
          <w:p>
            <w:pPr>
              <w:jc w:val="center"/>
              <w:ind w:right="30"/>
              <w:spacing w:after="0" w:line="156" w:lineRule="exact"/>
              <w:rPr>
                <w:sz w:val="20"/>
                <w:szCs w:val="20"/>
                <w:color w:val="auto"/>
              </w:rPr>
            </w:pPr>
            <w:r>
              <w:rPr>
                <w:rFonts w:ascii="Arial" w:cs="Arial" w:eastAsia="Arial" w:hAnsi="Arial"/>
                <w:sz w:val="18"/>
                <w:szCs w:val="18"/>
                <w:color w:val="auto"/>
                <w:w w:val="99"/>
              </w:rPr>
              <w:t>M&amp;A/Exit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FX Impact</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318"/>
        </w:trPr>
        <w:tc>
          <w:tcPr>
            <w:tcW w:w="12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North</w:t>
            </w:r>
          </w:p>
        </w:tc>
        <w:tc>
          <w:tcPr>
            <w:tcW w:w="980" w:type="dxa"/>
            <w:vAlign w:val="bottom"/>
            <w:vMerge w:val="continue"/>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Impact</w:t>
            </w:r>
            <w:r>
              <w:rPr>
                <w:rFonts w:ascii="Arial" w:cs="Arial" w:eastAsia="Arial" w:hAnsi="Arial"/>
                <w:sz w:val="24"/>
                <w:szCs w:val="24"/>
                <w:color w:val="auto"/>
                <w:w w:val="98"/>
                <w:vertAlign w:val="superscript"/>
              </w:rPr>
              <w:t>1</w:t>
            </w:r>
          </w:p>
        </w:tc>
        <w:tc>
          <w:tcPr>
            <w:tcW w:w="980" w:type="dxa"/>
            <w:vAlign w:val="bottom"/>
            <w:vMerge w:val="continue"/>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960" w:type="dxa"/>
            <w:vAlign w:val="bottom"/>
            <w:vMerge w:val="continue"/>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Impact</w:t>
            </w:r>
            <w:r>
              <w:rPr>
                <w:rFonts w:ascii="Arial" w:cs="Arial" w:eastAsia="Arial" w:hAnsi="Arial"/>
                <w:sz w:val="24"/>
                <w:szCs w:val="24"/>
                <w:color w:val="auto"/>
                <w:w w:val="98"/>
                <w:vertAlign w:val="superscript"/>
              </w:rPr>
              <w:t>1</w:t>
            </w:r>
          </w:p>
        </w:tc>
        <w:tc>
          <w:tcPr>
            <w:tcW w:w="920" w:type="dxa"/>
            <w:vAlign w:val="bottom"/>
            <w:vMerge w:val="continue"/>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10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573</w:t>
            </w:r>
          </w:p>
        </w:tc>
        <w:tc>
          <w:tcPr>
            <w:tcW w:w="1060" w:type="dxa"/>
            <w:vAlign w:val="bottom"/>
            <w:tcBorders>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vMerge w:val="restart"/>
          </w:tcPr>
          <w:p>
            <w:pPr>
              <w:ind w:left="20"/>
              <w:spacing w:after="0" w:line="202" w:lineRule="exact"/>
              <w:rPr>
                <w:sz w:val="20"/>
                <w:szCs w:val="20"/>
                <w:color w:val="auto"/>
              </w:rPr>
            </w:pPr>
            <w:r>
              <w:rPr>
                <w:rFonts w:ascii="Arial" w:cs="Arial" w:eastAsia="Arial" w:hAnsi="Arial"/>
                <w:sz w:val="18"/>
                <w:szCs w:val="18"/>
                <w:b w:val="1"/>
                <w:bCs w:val="1"/>
                <w:color w:val="auto"/>
              </w:rPr>
              <w:t>America</w:t>
            </w:r>
          </w:p>
        </w:tc>
        <w:tc>
          <w:tcPr>
            <w:tcW w:w="980" w:type="dxa"/>
            <w:vAlign w:val="bottom"/>
            <w:vMerge w:val="continue"/>
          </w:tcPr>
          <w:p>
            <w:pPr>
              <w:spacing w:after="0"/>
              <w:rPr>
                <w:sz w:val="11"/>
                <w:szCs w:val="11"/>
                <w:color w:val="auto"/>
              </w:rPr>
            </w:pPr>
          </w:p>
        </w:tc>
        <w:tc>
          <w:tcPr>
            <w:tcW w:w="10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-23%</w:t>
            </w:r>
          </w:p>
        </w:tc>
        <w:tc>
          <w:tcPr>
            <w:tcW w:w="9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-20%</w:t>
            </w:r>
          </w:p>
        </w:tc>
        <w:tc>
          <w:tcPr>
            <w:tcW w:w="9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0%</w:t>
            </w:r>
          </w:p>
        </w:tc>
        <w:tc>
          <w:tcPr>
            <w:tcW w:w="102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-3%</w:t>
            </w:r>
          </w:p>
        </w:tc>
        <w:tc>
          <w:tcPr>
            <w:tcW w:w="960" w:type="dxa"/>
            <w:vAlign w:val="bottom"/>
            <w:vMerge w:val="continue"/>
          </w:tcPr>
          <w:p>
            <w:pPr>
              <w:spacing w:after="0"/>
              <w:rPr>
                <w:sz w:val="11"/>
                <w:szCs w:val="11"/>
                <w:color w:val="auto"/>
              </w:rPr>
            </w:pPr>
          </w:p>
        </w:tc>
        <w:tc>
          <w:tcPr>
            <w:tcW w:w="1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-16%</w:t>
            </w:r>
          </w:p>
        </w:tc>
        <w:tc>
          <w:tcPr>
            <w:tcW w:w="1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-14%</w:t>
            </w:r>
          </w:p>
        </w:tc>
        <w:tc>
          <w:tcPr>
            <w:tcW w:w="9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0%</w:t>
            </w:r>
          </w:p>
        </w:tc>
        <w:tc>
          <w:tcPr>
            <w:tcW w:w="10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72"/>
        </w:trPr>
        <w:tc>
          <w:tcPr>
            <w:tcW w:w="1220" w:type="dxa"/>
            <w:vAlign w:val="bottom"/>
            <w:tcBorders>
              <w:left w:val="single" w:sz="8" w:color="auto"/>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International</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60" w:type="dxa"/>
            <w:vAlign w:val="bottom"/>
          </w:tcPr>
          <w:p>
            <w:pPr>
              <w:jc w:val="right"/>
              <w:spacing w:after="0"/>
              <w:rPr>
                <w:sz w:val="20"/>
                <w:szCs w:val="20"/>
                <w:color w:val="auto"/>
              </w:rPr>
            </w:pPr>
            <w:r>
              <w:rPr>
                <w:rFonts w:ascii="Arial" w:cs="Arial" w:eastAsia="Arial" w:hAnsi="Arial"/>
                <w:sz w:val="18"/>
                <w:szCs w:val="18"/>
                <w:color w:val="auto"/>
              </w:rPr>
              <w:t>517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7"/>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338</w:t>
            </w:r>
          </w:p>
        </w:tc>
        <w:tc>
          <w:tcPr>
            <w:tcW w:w="1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-13%</w:t>
            </w:r>
          </w:p>
        </w:tc>
        <w:tc>
          <w:tcPr>
            <w:tcW w:w="9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-11%</w:t>
            </w:r>
          </w:p>
        </w:tc>
        <w:tc>
          <w:tcPr>
            <w:tcW w:w="9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10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-6%</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1,090</w:t>
            </w:r>
          </w:p>
        </w:tc>
        <w:tc>
          <w:tcPr>
            <w:tcW w:w="10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-9%</w:t>
            </w:r>
          </w:p>
        </w:tc>
        <w:tc>
          <w:tcPr>
            <w:tcW w:w="106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-8%</w:t>
            </w: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w:t>
            </w:r>
          </w:p>
        </w:tc>
        <w:tc>
          <w:tcPr>
            <w:tcW w:w="1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bl>
    <w:p>
      <w:pPr>
        <w:spacing w:after="0" w:line="212" w:lineRule="auto"/>
        <w:rPr>
          <w:sz w:val="20"/>
          <w:szCs w:val="20"/>
          <w:color w:val="auto"/>
        </w:rPr>
      </w:pPr>
      <w:r>
        <w:rPr>
          <w:rFonts w:ascii="Arial" w:cs="Arial" w:eastAsia="Arial" w:hAnsi="Arial"/>
          <w:sz w:val="14"/>
          <w:szCs w:val="14"/>
          <w:color w:val="auto"/>
        </w:rPr>
        <w:t>* May not add due to rounding</w:t>
      </w:r>
    </w:p>
    <w:p>
      <w:pPr>
        <w:spacing w:after="0" w:line="11" w:lineRule="exact"/>
        <w:rPr>
          <w:sz w:val="20"/>
          <w:szCs w:val="20"/>
          <w:color w:val="auto"/>
        </w:rPr>
      </w:pPr>
    </w:p>
    <w:p>
      <w:pPr>
        <w:ind w:right="20" w:firstLine="8"/>
        <w:spacing w:after="0" w:line="222" w:lineRule="auto"/>
        <w:tabs>
          <w:tab w:leader="none" w:pos="9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Reflects the impact within reported net sales growth of the following items that are excluded from organic net sales growth: net sales from divested brands (ParmCrisps®, Garden Veggie Snacks™, Terra® chips and Garden of Eatin'® snacks brands), held for sale businesses (Personal Care), discontinued brands, and exited product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 America</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Fiscal third quarter organic net sales decreased by 3% year-over-year, primarily driven by baby &amp; kids, partially offset by growth in beverages.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Segment gross profit and adjusted gross profit were each $40 million in the fiscal third quarter, representing decreases of 20% and 19%, respectively, from the prior year period. Gross margin was 23.1% and adjusted gross margin was 23.4%, each a 100-basis point increase from the prior year period. The increases in margin were primarily driven by productivity savings and pricing, partially offset by lower volume/mix and cost inflation.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EBITDA in the fiscal third quarter was $17 million, a decrease of 1% compared to the prior year period. The decrease was driven primarily by lower volume/mix and cost inflation, nearly offset by SG&amp;A reduction, pricing, and productivity savings. Adjusted EBITDA margin was 10.0% of net sales, a 220-basis point increase compared to the prior year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Fiscal third quarter organic net sales decreased by 8% year-over-year, primarily driven by lower sales in meal prep and baby &amp; kids.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Segment gross profit and adjusted gross profit in the fiscal third quarter were both $31 million, each representing a 13% decrease from the prior year period. Gross margin and adjusted gross margin were both 18.5%, each representing a 270-basis point decrease from the prior year period. The decreases in margin were primarily driven by cost inflation, partially offset by productivity savings and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EBITDA in the fiscal third quarter was $ 20 million, compared to $22 million in the prior year period, a decrease of 12%. The decrease was primarily driven by cost inflation and lower volume/mix, partially offset by productivity savings and pricing. Adjusted EBITDA margin was 11.7% compared to 13.2% in the prior year period.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CATEGORY HIGHLIGHTS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220" w:type="dxa"/>
            <w:vAlign w:val="bottom"/>
            <w:tcBorders>
              <w:top w:val="single" w:sz="8" w:color="auto"/>
              <w:left w:val="single" w:sz="8" w:color="auto"/>
              <w:right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2"/>
          </w:tcPr>
          <w:p>
            <w:pPr>
              <w:jc w:val="right"/>
              <w:ind w:right="450"/>
              <w:spacing w:after="0" w:line="196" w:lineRule="exact"/>
              <w:rPr>
                <w:sz w:val="20"/>
                <w:szCs w:val="20"/>
                <w:color w:val="auto"/>
              </w:rPr>
            </w:pPr>
            <w:r>
              <w:rPr>
                <w:rFonts w:ascii="Arial" w:cs="Arial" w:eastAsia="Arial" w:hAnsi="Arial"/>
                <w:sz w:val="18"/>
                <w:szCs w:val="18"/>
                <w:b w:val="1"/>
                <w:bCs w:val="1"/>
                <w:color w:val="auto"/>
              </w:rPr>
              <w:t>Net Sales</w:t>
            </w:r>
          </w:p>
        </w:tc>
        <w:tc>
          <w:tcPr>
            <w:tcW w:w="10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Q3 FY26</w:t>
            </w:r>
          </w:p>
        </w:tc>
        <w:tc>
          <w:tcPr>
            <w:tcW w:w="9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870"/>
              <w:spacing w:after="0" w:line="196" w:lineRule="exact"/>
              <w:rPr>
                <w:sz w:val="20"/>
                <w:szCs w:val="20"/>
                <w:color w:val="auto"/>
              </w:rPr>
            </w:pPr>
            <w:r>
              <w:rPr>
                <w:rFonts w:ascii="Arial" w:cs="Arial" w:eastAsia="Arial" w:hAnsi="Arial"/>
                <w:sz w:val="18"/>
                <w:szCs w:val="18"/>
                <w:b w:val="1"/>
                <w:bCs w:val="1"/>
                <w:color w:val="auto"/>
                <w:w w:val="99"/>
              </w:rPr>
              <w:t>Q3 FY26 YTD</w:t>
            </w:r>
          </w:p>
        </w:tc>
        <w:tc>
          <w:tcPr>
            <w:tcW w:w="9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20" w:type="dxa"/>
            <w:vAlign w:val="bottom"/>
            <w:tcBorders>
              <w:left w:val="single" w:sz="8" w:color="auto"/>
              <w:right w:val="single" w:sz="8" w:color="auto"/>
            </w:tcBorders>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 Millions</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Reported</w:t>
            </w:r>
          </w:p>
        </w:tc>
        <w:tc>
          <w:tcPr>
            <w:tcW w:w="960" w:type="dxa"/>
            <w:vAlign w:val="bottom"/>
          </w:tcPr>
          <w:p>
            <w:pPr>
              <w:jc w:val="center"/>
              <w:spacing w:after="0" w:line="156" w:lineRule="exact"/>
              <w:rPr>
                <w:sz w:val="20"/>
                <w:szCs w:val="20"/>
                <w:color w:val="auto"/>
              </w:rPr>
            </w:pPr>
            <w:r>
              <w:rPr>
                <w:rFonts w:ascii="Arial" w:cs="Arial" w:eastAsia="Arial" w:hAnsi="Arial"/>
                <w:sz w:val="18"/>
                <w:szCs w:val="18"/>
                <w:color w:val="auto"/>
                <w:w w:val="99"/>
              </w:rPr>
              <w:t>M&amp;A/Exit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FX Impact</w:t>
            </w:r>
          </w:p>
        </w:tc>
        <w:tc>
          <w:tcPr>
            <w:tcW w:w="10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8"/>
              </w:rPr>
              <w:t>Organic</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 Millions</w:t>
            </w:r>
          </w:p>
        </w:tc>
        <w:tc>
          <w:tcPr>
            <w:tcW w:w="10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Reported</w:t>
            </w:r>
          </w:p>
        </w:tc>
        <w:tc>
          <w:tcPr>
            <w:tcW w:w="1060" w:type="dxa"/>
            <w:vAlign w:val="bottom"/>
          </w:tcPr>
          <w:p>
            <w:pPr>
              <w:jc w:val="center"/>
              <w:ind w:right="30"/>
              <w:spacing w:after="0" w:line="156" w:lineRule="exact"/>
              <w:rPr>
                <w:sz w:val="20"/>
                <w:szCs w:val="20"/>
                <w:color w:val="auto"/>
              </w:rPr>
            </w:pPr>
            <w:r>
              <w:rPr>
                <w:rFonts w:ascii="Arial" w:cs="Arial" w:eastAsia="Arial" w:hAnsi="Arial"/>
                <w:sz w:val="18"/>
                <w:szCs w:val="18"/>
                <w:color w:val="auto"/>
                <w:w w:val="99"/>
              </w:rPr>
              <w:t>M&amp;A/Exit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FX Impact</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tcPr>
          <w:p>
            <w:pPr>
              <w:spacing w:after="0"/>
              <w:rPr>
                <w:sz w:val="19"/>
                <w:szCs w:val="19"/>
                <w:color w:val="auto"/>
              </w:rPr>
            </w:pPr>
          </w:p>
        </w:tc>
        <w:tc>
          <w:tcPr>
            <w:tcW w:w="980" w:type="dxa"/>
            <w:vAlign w:val="bottom"/>
            <w:vMerge w:val="continue"/>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960" w:type="dxa"/>
            <w:vAlign w:val="bottom"/>
          </w:tcPr>
          <w:p>
            <w:pPr>
              <w:jc w:val="center"/>
              <w:spacing w:after="0" w:line="224" w:lineRule="exact"/>
              <w:rPr>
                <w:sz w:val="20"/>
                <w:szCs w:val="20"/>
                <w:color w:val="auto"/>
              </w:rPr>
            </w:pPr>
            <w:r>
              <w:rPr>
                <w:rFonts w:ascii="Arial" w:cs="Arial" w:eastAsia="Arial" w:hAnsi="Arial"/>
                <w:sz w:val="18"/>
                <w:szCs w:val="18"/>
                <w:color w:val="auto"/>
                <w:w w:val="98"/>
              </w:rPr>
              <w:t>Impact</w:t>
            </w:r>
            <w:r>
              <w:rPr>
                <w:rFonts w:ascii="Arial" w:cs="Arial" w:eastAsia="Arial" w:hAnsi="Arial"/>
                <w:sz w:val="24"/>
                <w:szCs w:val="24"/>
                <w:color w:val="auto"/>
                <w:w w:val="98"/>
                <w:vertAlign w:val="superscript"/>
              </w:rPr>
              <w:t>1</w:t>
            </w:r>
          </w:p>
        </w:tc>
        <w:tc>
          <w:tcPr>
            <w:tcW w:w="980" w:type="dxa"/>
            <w:vAlign w:val="bottom"/>
            <w:vMerge w:val="continue"/>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960" w:type="dxa"/>
            <w:vAlign w:val="bottom"/>
            <w:vMerge w:val="continue"/>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1060" w:type="dxa"/>
            <w:vAlign w:val="bottom"/>
          </w:tcPr>
          <w:p>
            <w:pPr>
              <w:jc w:val="center"/>
              <w:spacing w:after="0" w:line="224" w:lineRule="exact"/>
              <w:rPr>
                <w:sz w:val="20"/>
                <w:szCs w:val="20"/>
                <w:color w:val="auto"/>
              </w:rPr>
            </w:pPr>
            <w:r>
              <w:rPr>
                <w:rFonts w:ascii="Arial" w:cs="Arial" w:eastAsia="Arial" w:hAnsi="Arial"/>
                <w:sz w:val="18"/>
                <w:szCs w:val="18"/>
                <w:color w:val="auto"/>
                <w:w w:val="98"/>
              </w:rPr>
              <w:t>Impact</w:t>
            </w:r>
            <w:r>
              <w:rPr>
                <w:rFonts w:ascii="Arial" w:cs="Arial" w:eastAsia="Arial" w:hAnsi="Arial"/>
                <w:sz w:val="24"/>
                <w:szCs w:val="24"/>
                <w:color w:val="auto"/>
                <w:w w:val="98"/>
                <w:vertAlign w:val="superscript"/>
              </w:rPr>
              <w:t>1</w:t>
            </w:r>
          </w:p>
        </w:tc>
        <w:tc>
          <w:tcPr>
            <w:tcW w:w="920" w:type="dxa"/>
            <w:vAlign w:val="bottom"/>
            <w:vMerge w:val="continue"/>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Growth Y/Y</w:t>
            </w: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Baby &amp; Kids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1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Beverages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1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Meal Prep</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-6%</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1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w:t>
            </w:r>
          </w:p>
        </w:tc>
        <w:tc>
          <w:tcPr>
            <w:tcW w:w="10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-4%</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Personal</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vMerge w:val="restart"/>
          </w:tcPr>
          <w:p>
            <w:pPr>
              <w:ind w:left="20"/>
              <w:spacing w:after="0" w:line="202" w:lineRule="exact"/>
              <w:rPr>
                <w:sz w:val="20"/>
                <w:szCs w:val="20"/>
                <w:color w:val="auto"/>
              </w:rPr>
            </w:pPr>
            <w:r>
              <w:rPr>
                <w:rFonts w:ascii="Arial" w:cs="Arial" w:eastAsia="Arial" w:hAnsi="Arial"/>
                <w:sz w:val="18"/>
                <w:szCs w:val="18"/>
                <w:b w:val="1"/>
                <w:bCs w:val="1"/>
                <w:color w:val="auto"/>
              </w:rPr>
              <w:t>Care</w:t>
            </w:r>
          </w:p>
        </w:tc>
        <w:tc>
          <w:tcPr>
            <w:tcW w:w="980" w:type="dxa"/>
            <w:vAlign w:val="bottom"/>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20" w:type="dxa"/>
            <w:vAlign w:val="bottom"/>
            <w:tcBorders>
              <w:left w:val="single" w:sz="8" w:color="auto"/>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Snacks</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-26%</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77"/>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338</w:t>
            </w:r>
          </w:p>
        </w:tc>
        <w:tc>
          <w:tcPr>
            <w:tcW w:w="1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-13%</w:t>
            </w:r>
          </w:p>
        </w:tc>
        <w:tc>
          <w:tcPr>
            <w:tcW w:w="9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-11%</w:t>
            </w:r>
          </w:p>
        </w:tc>
        <w:tc>
          <w:tcPr>
            <w:tcW w:w="9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10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-6%</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1,090</w:t>
            </w:r>
          </w:p>
        </w:tc>
        <w:tc>
          <w:tcPr>
            <w:tcW w:w="10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-9%</w:t>
            </w:r>
          </w:p>
        </w:tc>
        <w:tc>
          <w:tcPr>
            <w:tcW w:w="106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-8%</w:t>
            </w: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w:t>
            </w:r>
          </w:p>
        </w:tc>
        <w:tc>
          <w:tcPr>
            <w:tcW w:w="1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bl>
    <w:p>
      <w:pPr>
        <w:spacing w:after="0" w:line="212" w:lineRule="auto"/>
        <w:rPr>
          <w:sz w:val="20"/>
          <w:szCs w:val="20"/>
          <w:color w:val="auto"/>
        </w:rPr>
      </w:pPr>
      <w:r>
        <w:rPr>
          <w:rFonts w:ascii="Arial" w:cs="Arial" w:eastAsia="Arial" w:hAnsi="Arial"/>
          <w:sz w:val="14"/>
          <w:szCs w:val="14"/>
          <w:color w:val="auto"/>
        </w:rPr>
        <w:t>* May not add due to rounding</w:t>
      </w:r>
    </w:p>
    <w:p>
      <w:pPr>
        <w:spacing w:after="0" w:line="11" w:lineRule="exact"/>
        <w:rPr>
          <w:sz w:val="20"/>
          <w:szCs w:val="20"/>
          <w:color w:val="auto"/>
        </w:rPr>
      </w:pPr>
    </w:p>
    <w:p>
      <w:pPr>
        <w:ind w:right="20" w:firstLine="8"/>
        <w:spacing w:after="0" w:line="222" w:lineRule="auto"/>
        <w:tabs>
          <w:tab w:leader="none" w:pos="94"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the impact within reported net sales growth of the following items that are excluded from organic net sales growth: net sales from divested brands (ParmCrisps®, Garden Veggie Snacks™, Terra® chips and Garden of Eatin'® snacks brands), held for sale businesses (Personal Care), discontinued brands, and exited product categories.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Baby &amp; Kids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fiscal third quarter organic net sales decline of 14% year-over-year was driven primarily by continued industry-wide volume softness in purees in the UK and by purees and formula in North America, partially offset by growth in finger foods in both regions and cereal in North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Beverages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Fiscal third quarter organic net sales growth was flat year-over-year as growth in tea in North America and private label non-dairy beverage in International was offset by a decline in branded non-dairy beverage.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Meal Prep</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fiscal third quarter organic net sales decline of 5% year-over-year was driven primarily by pantry in North America, which is comprised of oil, soup, and nut butter brands, and by spreads and drizzles in the UK, partially offset by strength in yogurt in North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Snacks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the disposition of the North American snacks business, the snacks category is comprised of jellies in the International segment.</w:t>
      </w:r>
    </w:p>
    <w:p>
      <w:pPr>
        <w:spacing w:after="0"/>
        <w:rPr>
          <w:sz w:val="20"/>
          <w:szCs w:val="20"/>
          <w:color w:val="auto"/>
        </w:rPr>
      </w:pPr>
      <w:r>
        <w:rPr>
          <w:rFonts w:ascii="Arial" w:cs="Arial" w:eastAsia="Arial" w:hAnsi="Arial"/>
          <w:sz w:val="18"/>
          <w:szCs w:val="18"/>
          <w:color w:val="auto"/>
        </w:rPr>
        <w:t>Organic net sales declined 7% year-over-year in the fiscal third quarter.</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Hain Celestial will host a conference call and webcast today at 8:00 AM ET to discuss its results and business outlook. The live webcast and accompanying presentation are available under the Investors section of the company’s corporate website at www.hain.com. Investors and analysts can access the 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right="20"/>
        <w:spacing w:after="0" w:line="261" w:lineRule="auto"/>
        <w:rPr>
          <w:sz w:val="20"/>
          <w:szCs w:val="20"/>
          <w:color w:val="auto"/>
        </w:rPr>
      </w:pPr>
      <w:r>
        <w:rPr>
          <w:rFonts w:ascii="Arial" w:cs="Arial" w:eastAsia="Arial" w:hAnsi="Arial"/>
          <w:sz w:val="18"/>
          <w:szCs w:val="18"/>
          <w:color w:val="auto"/>
        </w:rPr>
        <w:t>call by dialing 800-715-9871 or 646-307-1963. The conference ID is 5099081. Participation by the press and public in the Q&amp;A session will be in listen-only mode. A replay of the call will be available shortly after the conclusion of the live call through Monday, May 18th, 2026, and can be accessed by dialing 800-770-2030 or 609-800-9909 and referencing the conference access ID: 5099081.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Hain Celestial Group, Inc.</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Hain Celestial is a leading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in over 70 countries around the world. Our leading brands include Celestial Seasonings® teas, The Greek Gods® yogurt, Earth's Best® Organic and Ella's Kitchen® baby and kids foods, Joya® and Natumi® plant-based beverages, Hartley’s® jelly, as well as Cully &amp; Sully®, Yorkshire Provender®, New Covent Garden® soups, among others. For more information, visit www.hain.com and LinkedIn.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strategy, our future results of operations, our capital and cost structure, our ability to optimize cash, strengthen our balance sheet, improve flexibility, stabilize sales and achieve sustainable and profitable growth, and the macroeconomic environment.</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Risks and uncertainties that may cause actual results to differ materially from forward-looking statements include: challenges and uncertainty resulting from the impact of competition; changes to consumer preferences; our ability to execute our business strategy; our ability realize the benefits of the North American snacks disposition; compliance with our credit agreement and our ability to refinance, retire and/or extend the maturity of the Company’s existing debt; 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 baby food products; potential liability if our products cause illness or physical harm; the highly regulated environment in which we operate; our ability to manage our financial reporting and internal control systems and processes; compliance with data privacy laws; the adequacy of our insurance coverage; climate impacts; liabilities, claims or regulatory change with respect to environmental matters; and other risks and matters described in our most recent Annual Report on Form 10-K and our other filings from time to time with the U.S. Securities and Exchange Commission.</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undertake no obligation to update forward-looking statements to reflect actual results or changes in assumptions or circumstances, except as required by applicable law.</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and the accompanying tables include non-GAAP financial measures, including, among others, organic net sales; adjusted gross profit and its related margin; adjusted operating income and its related margin; adjusted net (loss) income and its related margin; diluted net (loss) income per common share, as adjusted; adjusted EBITDA and its related margin; free cash flow; and net debt. The reconciliations of historic non-GAAP financial measures to the comparable GAAP financial measures are provided in the tables below.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financial statements presented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financial measures as follows:</w:t>
      </w:r>
    </w:p>
    <w:p>
      <w:pPr>
        <w:spacing w:after="0" w:line="198" w:lineRule="exact"/>
        <w:rPr>
          <w:sz w:val="20"/>
          <w:szCs w:val="20"/>
          <w:color w:val="auto"/>
        </w:rPr>
      </w:pPr>
    </w:p>
    <w:p>
      <w:pPr>
        <w:jc w:val="both"/>
        <w:ind w:left="820" w:hanging="377"/>
        <w:spacing w:after="0" w:line="239" w:lineRule="auto"/>
        <w:tabs>
          <w:tab w:leader="none" w:pos="8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Organic net sales</w:t>
      </w:r>
      <w:r>
        <w:rPr>
          <w:rFonts w:ascii="Arial" w:cs="Arial" w:eastAsia="Arial" w:hAnsi="Arial"/>
          <w:sz w:val="18"/>
          <w:szCs w:val="18"/>
          <w:color w:val="auto"/>
        </w:rPr>
        <w:t>: net sales excluding the impact of acquisitions, divestitures, held for sale businesses, discontinued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spacing w:after="0" w:line="182" w:lineRule="exact"/>
        <w:rPr>
          <w:rFonts w:ascii="Times New Roman" w:cs="Times New Roman" w:eastAsia="Times New Roman" w:hAnsi="Times New Roman"/>
          <w:sz w:val="18"/>
          <w:szCs w:val="18"/>
          <w:color w:val="auto"/>
        </w:rPr>
      </w:pPr>
    </w:p>
    <w:p>
      <w:pPr>
        <w:ind w:left="820" w:right="20" w:hanging="377"/>
        <w:spacing w:after="0" w:line="270" w:lineRule="auto"/>
        <w:tabs>
          <w:tab w:leader="none" w:pos="8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Adjusted gross profit and its related margin</w:t>
      </w:r>
      <w:r>
        <w:rPr>
          <w:rFonts w:ascii="Arial" w:cs="Arial" w:eastAsia="Arial" w:hAnsi="Arial"/>
          <w:sz w:val="18"/>
          <w:szCs w:val="18"/>
          <w:color w:val="auto"/>
        </w:rPr>
        <w:t>: gross profit, before plant closure related costs, net and warehouse and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and other costs, net.</w:t>
      </w:r>
    </w:p>
    <w:p>
      <w:pPr>
        <w:spacing w:after="0" w:line="154" w:lineRule="exact"/>
        <w:rPr>
          <w:rFonts w:ascii="Times New Roman" w:cs="Times New Roman" w:eastAsia="Times New Roman" w:hAnsi="Times New Roman"/>
          <w:sz w:val="18"/>
          <w:szCs w:val="18"/>
          <w:color w:val="auto"/>
        </w:rPr>
      </w:pPr>
    </w:p>
    <w:p>
      <w:pPr>
        <w:jc w:val="both"/>
        <w:ind w:left="820" w:hanging="377"/>
        <w:spacing w:after="0" w:line="246" w:lineRule="auto"/>
        <w:tabs>
          <w:tab w:leader="none" w:pos="8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Adjusted operating income and its related margin</w:t>
      </w:r>
      <w:r>
        <w:rPr>
          <w:rFonts w:ascii="Arial" w:cs="Arial" w:eastAsia="Arial" w:hAnsi="Arial"/>
          <w:sz w:val="18"/>
          <w:szCs w:val="18"/>
          <w:color w:val="auto"/>
        </w:rPr>
        <w:t>: operating loss before goodwill impairment, long-lived asset and intangibles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productivity and transformation costs, certain litigation expenses, net, costs associated with acquisitions, divestitures and other transactions, plant closure related costs, net, warehouse and manufacturing consolidation and other costs, net, and proceeds from insurance claim.</w:t>
      </w:r>
    </w:p>
    <w:p>
      <w:pPr>
        <w:spacing w:after="0" w:line="176" w:lineRule="exact"/>
        <w:rPr>
          <w:rFonts w:ascii="Times New Roman" w:cs="Times New Roman" w:eastAsia="Times New Roman" w:hAnsi="Times New Roman"/>
          <w:sz w:val="18"/>
          <w:szCs w:val="18"/>
          <w:color w:val="auto"/>
        </w:rPr>
      </w:pPr>
    </w:p>
    <w:p>
      <w:pPr>
        <w:jc w:val="both"/>
        <w:ind w:left="820" w:hanging="377"/>
        <w:spacing w:after="0" w:line="243" w:lineRule="auto"/>
        <w:tabs>
          <w:tab w:leader="none" w:pos="8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net (loss) income and its related margin and diluted net (loss) income per common share, as adjusted: </w:t>
      </w:r>
      <w:r>
        <w:rPr>
          <w:rFonts w:ascii="Arial" w:cs="Arial" w:eastAsia="Arial" w:hAnsi="Arial"/>
          <w:sz w:val="18"/>
          <w:szCs w:val="18"/>
          <w:color w:val="auto"/>
        </w:rPr>
        <w:t>net loss,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to exclude the impact of goodwill impairment, long-lived asset and intangibles impairment, productivity and transformation costs, certain litigation expenses, net, costs associated with acquisitions, divestitures and other transactions, plant closure related costs, net, warehouse and manufacturing consolidation and other costs, net, proceeds from insurance claim, losses (gains) losses on sales of assets, unrealized currency losses and the related tax effects of such adjustments.</w:t>
      </w:r>
    </w:p>
    <w:p>
      <w:pPr>
        <w:spacing w:after="0" w:line="179" w:lineRule="exact"/>
        <w:rPr>
          <w:rFonts w:ascii="Times New Roman" w:cs="Times New Roman" w:eastAsia="Times New Roman" w:hAnsi="Times New Roman"/>
          <w:sz w:val="18"/>
          <w:szCs w:val="18"/>
          <w:color w:val="auto"/>
        </w:rPr>
      </w:pPr>
    </w:p>
    <w:p>
      <w:pPr>
        <w:jc w:val="both"/>
        <w:ind w:left="820" w:hanging="377"/>
        <w:spacing w:after="0" w:line="243" w:lineRule="auto"/>
        <w:tabs>
          <w:tab w:leader="none" w:pos="8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Adjusted EBITDA and its related margin</w:t>
      </w:r>
      <w:r>
        <w:rPr>
          <w:rFonts w:ascii="Arial" w:cs="Arial" w:eastAsia="Arial" w:hAnsi="Arial"/>
          <w:sz w:val="18"/>
          <w:szCs w:val="18"/>
          <w:color w:val="auto"/>
        </w:rPr>
        <w:t>: net loss before depreciation and amortization, equity in net loss of equity-method</w:t>
      </w:r>
      <w:r>
        <w:rPr>
          <w:rFonts w:ascii="Arial" w:cs="Arial" w:eastAsia="Arial" w:hAnsi="Arial"/>
          <w:sz w:val="18"/>
          <w:szCs w:val="18"/>
          <w:i w:val="1"/>
          <w:iCs w:val="1"/>
          <w:color w:val="auto"/>
        </w:rPr>
        <w:t xml:space="preserve"> </w:t>
      </w:r>
      <w:r>
        <w:rPr>
          <w:rFonts w:ascii="Arial" w:cs="Arial" w:eastAsia="Arial" w:hAnsi="Arial"/>
          <w:sz w:val="18"/>
          <w:szCs w:val="18"/>
          <w:color w:val="auto"/>
        </w:rPr>
        <w:t>investees, net interest expense, income taxes, stock-based compensation, net, unrealized currency losses, certain litigation expenses, net, proceeds from insurance claim, productivity and transformation costs, plant closure related costs, net, warehouse and manufacturing consolidation and other costs, net, losses (gains) on sales of assets, costs associated with acquisitions, divestitures and other transactions, goodwill impairment and long-lived asset and intangibles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820" w:hanging="377"/>
        <w:spacing w:after="0"/>
        <w:tabs>
          <w:tab w:leader="none" w:pos="8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Free cash flow</w:t>
      </w:r>
      <w:r>
        <w:rPr>
          <w:rFonts w:ascii="Arial" w:cs="Arial" w:eastAsia="Arial" w:hAnsi="Arial"/>
          <w:sz w:val="18"/>
          <w:szCs w:val="18"/>
          <w:color w:val="auto"/>
        </w:rPr>
        <w:t>: net cash provided by operating activities less purchases of property, plant and equipment.</w:t>
      </w:r>
    </w:p>
    <w:p>
      <w:pPr>
        <w:spacing w:after="0" w:line="224"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Net debt</w:t>
      </w:r>
      <w:r>
        <w:rPr>
          <w:rFonts w:ascii="Arial" w:cs="Arial" w:eastAsia="Arial" w:hAnsi="Arial"/>
          <w:sz w:val="18"/>
          <w:szCs w:val="18"/>
          <w:color w:val="auto"/>
        </w:rPr>
        <w:t>: total debt less cash and cash equivalents.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believe that the non-GAAP financial measures presented provide useful additional information to investors about current trends in the company’s operations and are useful for period-over-period comparisons of operations. We provide:</w:t>
      </w:r>
    </w:p>
    <w:p>
      <w:pPr>
        <w:spacing w:after="0" w:line="140" w:lineRule="exact"/>
        <w:rPr>
          <w:sz w:val="20"/>
          <w:szCs w:val="20"/>
          <w:color w:val="auto"/>
        </w:rPr>
      </w:pPr>
    </w:p>
    <w:p>
      <w:pPr>
        <w:jc w:val="both"/>
        <w:ind w:left="820" w:hanging="377"/>
        <w:spacing w:after="0" w:line="252" w:lineRule="auto"/>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Organic net sales to demonstrate the growth rate of net sales excluding the impact of acquisitions, divestitures, held for sale businesses, discontinued brands, and exited product categories and foreign exchange, and believe organic net sales is useful to investors because it enables them to better understand the growth of our business from period to period.</w:t>
      </w:r>
    </w:p>
    <w:p>
      <w:pPr>
        <w:spacing w:after="0" w:line="170" w:lineRule="exact"/>
        <w:rPr>
          <w:rFonts w:ascii="Times New Roman" w:cs="Times New Roman" w:eastAsia="Times New Roman" w:hAnsi="Times New Roman"/>
          <w:sz w:val="18"/>
          <w:szCs w:val="18"/>
          <w:color w:val="auto"/>
        </w:rPr>
      </w:pPr>
    </w:p>
    <w:p>
      <w:pPr>
        <w:ind w:left="820" w:hanging="377"/>
        <w:spacing w:after="0" w:line="270" w:lineRule="auto"/>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Adjusted results as important supplemental measures of our performance and believe they are frequently used by securities analysts, investors and other interested parties in the evaluation of our Company and companies in our industry.</w:t>
      </w:r>
    </w:p>
    <w:p>
      <w:pPr>
        <w:spacing w:after="0" w:line="154"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as one factor in evaluating the amount of cash available for discretionary investments.</w:t>
      </w:r>
    </w:p>
    <w:p>
      <w:pPr>
        <w:spacing w:after="0" w:line="224"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Net debt as a useful measure to monitor leverage and evaluate the balance sheet.</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discuss the Company’s net secured leverage ratio as calculated under our credit agreement as a measure of our financial condition, liquidity and compliance with our credit agreement. For a description of the material terms of our credit agreement and risks of non-compliance with our credit agreement, see “Liquidity and Capital Resources” under “Management’s Discussion and Analysis of Financial Condition and Results of Operations” and “Risk Factors” in our most recent Annual Report on Form 10-K and our subsequent quarterly reports on Form 10-Q filed with the U.S. Securities and Exchange Commission.</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Alexis Tessier</w:t>
      </w:r>
    </w:p>
    <w:p>
      <w:pPr>
        <w:spacing w:after="0"/>
        <w:rPr>
          <w:sz w:val="20"/>
          <w:szCs w:val="20"/>
          <w:color w:val="auto"/>
        </w:rPr>
      </w:pPr>
      <w:r>
        <w:rPr>
          <w:rFonts w:ascii="Arial" w:cs="Arial" w:eastAsia="Arial" w:hAnsi="Arial"/>
          <w:sz w:val="18"/>
          <w:szCs w:val="18"/>
          <w:color w:val="auto"/>
        </w:rPr>
        <w:t>Investor.Relations@hain.com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Justin Godley</w:t>
      </w:r>
    </w:p>
    <w:p>
      <w:pPr>
        <w:spacing w:after="0"/>
        <w:rPr>
          <w:sz w:val="20"/>
          <w:szCs w:val="20"/>
          <w:color w:val="auto"/>
        </w:rPr>
      </w:pPr>
      <w:r>
        <w:rPr>
          <w:rFonts w:ascii="Arial" w:cs="Arial" w:eastAsia="Arial" w:hAnsi="Arial"/>
          <w:sz w:val="18"/>
          <w:szCs w:val="18"/>
          <w:color w:val="auto"/>
        </w:rPr>
        <w:t>Justin.Godley@hain.com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Consolidated Statements of Operations</w:t>
      </w:r>
    </w:p>
    <w:p>
      <w:pPr>
        <w:jc w:val="center"/>
        <w:ind w:right="120"/>
        <w:spacing w:after="0"/>
        <w:rPr>
          <w:sz w:val="20"/>
          <w:szCs w:val="20"/>
          <w:color w:val="auto"/>
        </w:rPr>
      </w:pPr>
      <w:r>
        <w:rPr>
          <w:rFonts w:ascii="Arial" w:cs="Arial" w:eastAsia="Arial" w:hAnsi="Arial"/>
          <w:sz w:val="17"/>
          <w:szCs w:val="17"/>
          <w:color w:val="auto"/>
        </w:rPr>
        <w:t>(unaudited and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Third Quarter</w:t>
            </w:r>
          </w:p>
        </w:tc>
        <w:tc>
          <w:tcPr>
            <w:tcW w:w="1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7"/>
                <w:szCs w:val="17"/>
                <w:b w:val="1"/>
                <w:bCs w:val="1"/>
                <w:color w:val="auto"/>
              </w:rPr>
              <w:t>Third Quarter Year to Date</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5"/>
              <w:spacing w:after="0" w:line="183" w:lineRule="exact"/>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349"/>
        </w:trPr>
        <w:tc>
          <w:tcPr>
            <w:tcW w:w="4300" w:type="dxa"/>
            <w:vAlign w:val="bottom"/>
          </w:tcPr>
          <w:p>
            <w:pPr>
              <w:spacing w:after="0"/>
              <w:rPr>
                <w:sz w:val="20"/>
                <w:szCs w:val="20"/>
                <w:color w:val="auto"/>
              </w:rPr>
            </w:pPr>
            <w:r>
              <w:rPr>
                <w:rFonts w:ascii="Arial" w:cs="Arial" w:eastAsia="Arial" w:hAnsi="Arial"/>
                <w:sz w:val="17"/>
                <w:szCs w:val="17"/>
                <w:color w:val="auto"/>
              </w:rPr>
              <w:t>Net sales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338,357</w:t>
            </w:r>
          </w:p>
        </w:tc>
        <w:tc>
          <w:tcPr>
            <w:tcW w:w="64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390,351</w:t>
            </w:r>
          </w:p>
        </w:tc>
        <w:tc>
          <w:tcPr>
            <w:tcW w:w="5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1,090,360</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1,196,432</w:t>
            </w:r>
          </w:p>
        </w:tc>
        <w:tc>
          <w:tcPr>
            <w:tcW w:w="0" w:type="dxa"/>
            <w:vAlign w:val="bottom"/>
          </w:tcPr>
          <w:p>
            <w:pPr>
              <w:spacing w:after="0"/>
              <w:rPr>
                <w:sz w:val="1"/>
                <w:szCs w:val="1"/>
                <w:color w:val="auto"/>
              </w:rPr>
            </w:pPr>
          </w:p>
        </w:tc>
      </w:tr>
      <w:tr>
        <w:trPr>
          <w:trHeight w:val="211"/>
        </w:trPr>
        <w:tc>
          <w:tcPr>
            <w:tcW w:w="4300" w:type="dxa"/>
            <w:vAlign w:val="bottom"/>
          </w:tcPr>
          <w:p>
            <w:pPr>
              <w:ind w:left="60"/>
              <w:spacing w:after="0"/>
              <w:rPr>
                <w:sz w:val="20"/>
                <w:szCs w:val="20"/>
                <w:color w:val="auto"/>
              </w:rPr>
            </w:pPr>
            <w:r>
              <w:rPr>
                <w:rFonts w:ascii="Arial" w:cs="Arial" w:eastAsia="Arial" w:hAnsi="Arial"/>
                <w:sz w:val="17"/>
                <w:szCs w:val="17"/>
                <w:color w:val="auto"/>
              </w:rPr>
              <w:t>Cost of sales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267,965</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305,701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877,451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936,720</w:t>
            </w:r>
          </w:p>
        </w:tc>
        <w:tc>
          <w:tcPr>
            <w:tcW w:w="0" w:type="dxa"/>
            <w:vAlign w:val="bottom"/>
          </w:tcPr>
          <w:p>
            <w:pPr>
              <w:spacing w:after="0"/>
              <w:rPr>
                <w:sz w:val="1"/>
                <w:szCs w:val="1"/>
                <w:color w:val="auto"/>
              </w:rPr>
            </w:pPr>
          </w:p>
        </w:tc>
      </w:tr>
      <w:tr>
        <w:trPr>
          <w:trHeight w:val="160"/>
        </w:trPr>
        <w:tc>
          <w:tcPr>
            <w:tcW w:w="4300" w:type="dxa"/>
            <w:vAlign w:val="bottom"/>
          </w:tcPr>
          <w:p>
            <w:pPr>
              <w:spacing w:after="0" w:line="160" w:lineRule="exact"/>
              <w:rPr>
                <w:sz w:val="20"/>
                <w:szCs w:val="20"/>
                <w:color w:val="auto"/>
              </w:rPr>
            </w:pPr>
            <w:r>
              <w:rPr>
                <w:rFonts w:ascii="Arial" w:cs="Arial" w:eastAsia="Arial" w:hAnsi="Arial"/>
                <w:sz w:val="17"/>
                <w:szCs w:val="17"/>
                <w:color w:val="auto"/>
              </w:rPr>
              <w:t>Gross profit</w:t>
            </w:r>
          </w:p>
        </w:tc>
        <w:tc>
          <w:tcPr>
            <w:tcW w:w="320" w:type="dxa"/>
            <w:vAlign w:val="bottom"/>
          </w:tcPr>
          <w:p>
            <w:pPr>
              <w:spacing w:after="0"/>
              <w:rPr>
                <w:sz w:val="13"/>
                <w:szCs w:val="13"/>
                <w:color w:val="auto"/>
              </w:rPr>
            </w:pPr>
          </w:p>
        </w:tc>
        <w:tc>
          <w:tcPr>
            <w:tcW w:w="1320" w:type="dxa"/>
            <w:vAlign w:val="bottom"/>
          </w:tcPr>
          <w:p>
            <w:pPr>
              <w:jc w:val="right"/>
              <w:ind w:right="55"/>
              <w:spacing w:after="0" w:line="160" w:lineRule="exact"/>
              <w:rPr>
                <w:sz w:val="20"/>
                <w:szCs w:val="20"/>
                <w:color w:val="auto"/>
              </w:rPr>
            </w:pPr>
            <w:r>
              <w:rPr>
                <w:rFonts w:ascii="Arial" w:cs="Arial" w:eastAsia="Arial" w:hAnsi="Arial"/>
                <w:sz w:val="17"/>
                <w:szCs w:val="17"/>
                <w:color w:val="auto"/>
              </w:rPr>
              <w:t>70,392</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ind w:right="35"/>
              <w:spacing w:after="0" w:line="160" w:lineRule="exact"/>
              <w:rPr>
                <w:sz w:val="20"/>
                <w:szCs w:val="20"/>
                <w:color w:val="auto"/>
              </w:rPr>
            </w:pPr>
            <w:r>
              <w:rPr>
                <w:rFonts w:ascii="Arial" w:cs="Arial" w:eastAsia="Arial" w:hAnsi="Arial"/>
                <w:sz w:val="17"/>
                <w:szCs w:val="17"/>
                <w:color w:val="auto"/>
              </w:rPr>
              <w:t>84,650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ind w:right="35"/>
              <w:spacing w:after="0" w:line="160" w:lineRule="exact"/>
              <w:rPr>
                <w:sz w:val="20"/>
                <w:szCs w:val="20"/>
                <w:color w:val="auto"/>
              </w:rPr>
            </w:pPr>
            <w:r>
              <w:rPr>
                <w:rFonts w:ascii="Arial" w:cs="Arial" w:eastAsia="Arial" w:hAnsi="Arial"/>
                <w:sz w:val="17"/>
                <w:szCs w:val="17"/>
                <w:color w:val="auto"/>
              </w:rPr>
              <w:t>212,909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ind w:right="35"/>
              <w:spacing w:after="0" w:line="160" w:lineRule="exact"/>
              <w:rPr>
                <w:sz w:val="20"/>
                <w:szCs w:val="20"/>
                <w:color w:val="auto"/>
              </w:rPr>
            </w:pPr>
            <w:r>
              <w:rPr>
                <w:rFonts w:ascii="Arial" w:cs="Arial" w:eastAsia="Arial" w:hAnsi="Arial"/>
                <w:sz w:val="17"/>
                <w:szCs w:val="17"/>
                <w:color w:val="auto"/>
              </w:rPr>
              <w:t>259,712</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59,078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62,934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185,493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204,417</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Goodwill impairment</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31,018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110,251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150,926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201,518</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Long-lived asset and intangibles impairment</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15,047</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24,012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26,964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42,029</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Productivity and transformation costs</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4,066</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7,289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17,519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16,497</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Amortization of acquired intangible assets</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3,314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1,243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5,725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5,176</w:t>
            </w:r>
          </w:p>
        </w:tc>
        <w:tc>
          <w:tcPr>
            <w:tcW w:w="0" w:type="dxa"/>
            <w:vAlign w:val="bottom"/>
          </w:tcPr>
          <w:p>
            <w:pPr>
              <w:spacing w:after="0"/>
              <w:rPr>
                <w:sz w:val="1"/>
                <w:szCs w:val="1"/>
                <w:color w:val="auto"/>
              </w:rPr>
            </w:pPr>
          </w:p>
        </w:tc>
      </w:tr>
      <w:tr>
        <w:trPr>
          <w:trHeight w:val="211"/>
        </w:trPr>
        <w:tc>
          <w:tcPr>
            <w:tcW w:w="4300" w:type="dxa"/>
            <w:vAlign w:val="bottom"/>
          </w:tcPr>
          <w:p>
            <w:pPr>
              <w:ind w:left="60"/>
              <w:spacing w:after="0"/>
              <w:rPr>
                <w:sz w:val="20"/>
                <w:szCs w:val="20"/>
                <w:color w:val="auto"/>
              </w:rPr>
            </w:pPr>
            <w:r>
              <w:rPr>
                <w:rFonts w:ascii="Arial" w:cs="Arial" w:eastAsia="Arial" w:hAnsi="Arial"/>
                <w:sz w:val="17"/>
                <w:szCs w:val="17"/>
                <w:color w:val="auto"/>
              </w:rPr>
              <w:t>Proceeds from insurance claim</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(25,900)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4300" w:type="dxa"/>
            <w:vAlign w:val="bottom"/>
          </w:tcPr>
          <w:p>
            <w:pPr>
              <w:spacing w:after="0" w:line="160" w:lineRule="exact"/>
              <w:rPr>
                <w:sz w:val="20"/>
                <w:szCs w:val="20"/>
                <w:color w:val="auto"/>
              </w:rPr>
            </w:pPr>
            <w:r>
              <w:rPr>
                <w:rFonts w:ascii="Arial" w:cs="Arial" w:eastAsia="Arial" w:hAnsi="Arial"/>
                <w:sz w:val="17"/>
                <w:szCs w:val="17"/>
                <w:color w:val="auto"/>
              </w:rPr>
              <w:t>Operating loss</w:t>
            </w:r>
          </w:p>
        </w:tc>
        <w:tc>
          <w:tcPr>
            <w:tcW w:w="320" w:type="dxa"/>
            <w:vAlign w:val="bottom"/>
          </w:tcPr>
          <w:p>
            <w:pPr>
              <w:spacing w:after="0"/>
              <w:rPr>
                <w:sz w:val="13"/>
                <w:szCs w:val="13"/>
                <w:color w:val="auto"/>
              </w:rPr>
            </w:pPr>
          </w:p>
        </w:tc>
        <w:tc>
          <w:tcPr>
            <w:tcW w:w="1320" w:type="dxa"/>
            <w:vAlign w:val="bottom"/>
          </w:tcPr>
          <w:p>
            <w:pPr>
              <w:jc w:val="right"/>
              <w:spacing w:after="0" w:line="160" w:lineRule="exact"/>
              <w:rPr>
                <w:sz w:val="20"/>
                <w:szCs w:val="20"/>
                <w:color w:val="auto"/>
              </w:rPr>
            </w:pPr>
            <w:r>
              <w:rPr>
                <w:rFonts w:ascii="Arial" w:cs="Arial" w:eastAsia="Arial" w:hAnsi="Arial"/>
                <w:sz w:val="17"/>
                <w:szCs w:val="17"/>
                <w:color w:val="auto"/>
              </w:rPr>
              <w:t>(42,131)</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line="160" w:lineRule="exact"/>
              <w:rPr>
                <w:sz w:val="20"/>
                <w:szCs w:val="20"/>
                <w:color w:val="auto"/>
              </w:rPr>
            </w:pPr>
            <w:r>
              <w:rPr>
                <w:rFonts w:ascii="Arial" w:cs="Arial" w:eastAsia="Arial" w:hAnsi="Arial"/>
                <w:sz w:val="17"/>
                <w:szCs w:val="17"/>
                <w:color w:val="auto"/>
              </w:rPr>
              <w:t>(121,079)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line="160" w:lineRule="exact"/>
              <w:rPr>
                <w:sz w:val="20"/>
                <w:szCs w:val="20"/>
                <w:color w:val="auto"/>
              </w:rPr>
            </w:pPr>
            <w:r>
              <w:rPr>
                <w:rFonts w:ascii="Arial" w:cs="Arial" w:eastAsia="Arial" w:hAnsi="Arial"/>
                <w:sz w:val="17"/>
                <w:szCs w:val="17"/>
                <w:color w:val="auto"/>
              </w:rPr>
              <w:t>(147,818)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line="160" w:lineRule="exact"/>
              <w:rPr>
                <w:sz w:val="20"/>
                <w:szCs w:val="20"/>
                <w:color w:val="auto"/>
              </w:rPr>
            </w:pPr>
            <w:r>
              <w:rPr>
                <w:rFonts w:ascii="Arial" w:cs="Arial" w:eastAsia="Arial" w:hAnsi="Arial"/>
                <w:sz w:val="17"/>
                <w:szCs w:val="17"/>
                <w:color w:val="auto"/>
              </w:rPr>
              <w:t>(209,925)</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Interest and other financing expense, net</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13,914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11,866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45,075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38,412</w:t>
            </w:r>
          </w:p>
        </w:tc>
        <w:tc>
          <w:tcPr>
            <w:tcW w:w="0" w:type="dxa"/>
            <w:vAlign w:val="bottom"/>
          </w:tcPr>
          <w:p>
            <w:pPr>
              <w:spacing w:after="0"/>
              <w:rPr>
                <w:sz w:val="1"/>
                <w:szCs w:val="1"/>
                <w:color w:val="auto"/>
              </w:rPr>
            </w:pPr>
          </w:p>
        </w:tc>
      </w:tr>
      <w:tr>
        <w:trPr>
          <w:trHeight w:val="211"/>
        </w:trPr>
        <w:tc>
          <w:tcPr>
            <w:tcW w:w="4300" w:type="dxa"/>
            <w:vAlign w:val="bottom"/>
          </w:tcPr>
          <w:p>
            <w:pPr>
              <w:ind w:left="60"/>
              <w:spacing w:after="0"/>
              <w:rPr>
                <w:sz w:val="20"/>
                <w:szCs w:val="20"/>
                <w:color w:val="auto"/>
              </w:rPr>
            </w:pPr>
            <w:r>
              <w:rPr>
                <w:rFonts w:ascii="Arial" w:cs="Arial" w:eastAsia="Arial" w:hAnsi="Arial"/>
                <w:sz w:val="17"/>
                <w:szCs w:val="17"/>
                <w:color w:val="auto"/>
              </w:rPr>
              <w:t>Other expense, net</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49,518</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1,182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47,865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2,434</w:t>
            </w:r>
          </w:p>
        </w:tc>
        <w:tc>
          <w:tcPr>
            <w:tcW w:w="0" w:type="dxa"/>
            <w:vAlign w:val="bottom"/>
          </w:tcPr>
          <w:p>
            <w:pPr>
              <w:spacing w:after="0"/>
              <w:rPr>
                <w:sz w:val="1"/>
                <w:szCs w:val="1"/>
                <w:color w:val="auto"/>
              </w:rPr>
            </w:pPr>
          </w:p>
        </w:tc>
      </w:tr>
      <w:tr>
        <w:trPr>
          <w:trHeight w:val="160"/>
        </w:trPr>
        <w:tc>
          <w:tcPr>
            <w:tcW w:w="4300" w:type="dxa"/>
            <w:vAlign w:val="bottom"/>
          </w:tcPr>
          <w:p>
            <w:pPr>
              <w:spacing w:after="0" w:line="160" w:lineRule="exact"/>
              <w:rPr>
                <w:sz w:val="20"/>
                <w:szCs w:val="20"/>
                <w:color w:val="auto"/>
              </w:rPr>
            </w:pPr>
            <w:r>
              <w:rPr>
                <w:rFonts w:ascii="Arial" w:cs="Arial" w:eastAsia="Arial" w:hAnsi="Arial"/>
                <w:sz w:val="17"/>
                <w:szCs w:val="17"/>
                <w:color w:val="auto"/>
              </w:rPr>
              <w:t>Loss before income taxes and equity in net loss of</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7"/>
                <w:szCs w:val="17"/>
                <w:color w:val="auto"/>
              </w:rPr>
              <w:t>equity-method investees</w:t>
            </w:r>
          </w:p>
        </w:tc>
        <w:tc>
          <w:tcPr>
            <w:tcW w:w="3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(105,563)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(134,127)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(240,758)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(250,771)</w:t>
            </w:r>
          </w:p>
        </w:tc>
        <w:tc>
          <w:tcPr>
            <w:tcW w:w="0" w:type="dxa"/>
            <w:vAlign w:val="bottom"/>
          </w:tcPr>
          <w:p>
            <w:pPr>
              <w:spacing w:after="0"/>
              <w:rPr>
                <w:sz w:val="1"/>
                <w:szCs w:val="1"/>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7"/>
                <w:szCs w:val="17"/>
                <w:color w:val="auto"/>
              </w:rPr>
              <w:t>Provision (benefit) for income taxes</w:t>
            </w:r>
          </w:p>
        </w:tc>
        <w:tc>
          <w:tcPr>
            <w:tcW w:w="3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759</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(505)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1,889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11"/>
        </w:trPr>
        <w:tc>
          <w:tcPr>
            <w:tcW w:w="4300" w:type="dxa"/>
            <w:vAlign w:val="bottom"/>
          </w:tcPr>
          <w:p>
            <w:pPr>
              <w:ind w:left="60"/>
              <w:spacing w:after="0"/>
              <w:rPr>
                <w:sz w:val="20"/>
                <w:szCs w:val="20"/>
                <w:color w:val="auto"/>
              </w:rPr>
            </w:pPr>
            <w:r>
              <w:rPr>
                <w:rFonts w:ascii="Arial" w:cs="Arial" w:eastAsia="Arial" w:hAnsi="Arial"/>
                <w:sz w:val="17"/>
                <w:szCs w:val="17"/>
                <w:color w:val="auto"/>
              </w:rPr>
              <w:t>Equity in net loss of equity-method investees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966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1,709</w:t>
            </w:r>
          </w:p>
        </w:tc>
        <w:tc>
          <w:tcPr>
            <w:tcW w:w="0" w:type="dxa"/>
            <w:vAlign w:val="bottom"/>
          </w:tcPr>
          <w:p>
            <w:pPr>
              <w:spacing w:after="0"/>
              <w:rPr>
                <w:sz w:val="1"/>
                <w:szCs w:val="1"/>
                <w:color w:val="auto"/>
              </w:rPr>
            </w:pPr>
          </w:p>
        </w:tc>
      </w:tr>
      <w:tr>
        <w:trPr>
          <w:trHeight w:val="183"/>
        </w:trPr>
        <w:tc>
          <w:tcPr>
            <w:tcW w:w="4300" w:type="dxa"/>
            <w:vAlign w:val="bottom"/>
          </w:tcPr>
          <w:p>
            <w:pPr>
              <w:spacing w:after="0" w:line="169" w:lineRule="exact"/>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5"/>
              <w:spacing w:after="0" w:line="169"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(106,343)</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ind w:right="295"/>
              <w:spacing w:after="0" w:line="169"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(134,588)</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35"/>
              <w:spacing w:after="0" w:line="169"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(242,974)</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5"/>
              <w:spacing w:after="0" w:line="169"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(258,226)</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7"/>
                <w:szCs w:val="17"/>
                <w:color w:val="auto"/>
              </w:rPr>
              <w:t>Net loss per common share:</w:t>
            </w: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00" w:type="dxa"/>
            <w:vAlign w:val="bottom"/>
            <w:vMerge w:val="continue"/>
          </w:tcPr>
          <w:p>
            <w:pPr>
              <w:spacing w:after="0"/>
              <w:rPr>
                <w:sz w:val="24"/>
                <w:szCs w:val="24"/>
                <w:color w:val="auto"/>
              </w:rPr>
            </w:pPr>
          </w:p>
        </w:tc>
        <w:tc>
          <w:tcPr>
            <w:tcW w:w="320" w:type="dxa"/>
            <w:vAlign w:val="bottom"/>
            <w:vMerge w:val="restart"/>
          </w:tcPr>
          <w:p>
            <w:pPr>
              <w:jc w:val="right"/>
              <w:ind w:right="135"/>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(1.17)</w:t>
            </w:r>
          </w:p>
        </w:tc>
        <w:tc>
          <w:tcPr>
            <w:tcW w:w="640" w:type="dxa"/>
            <w:vAlign w:val="bottom"/>
            <w:gridSpan w:val="2"/>
            <w:vMerge w:val="restart"/>
          </w:tcPr>
          <w:p>
            <w:pPr>
              <w:jc w:val="right"/>
              <w:ind w:right="29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(1.49)</w:t>
            </w:r>
          </w:p>
        </w:tc>
        <w:tc>
          <w:tcPr>
            <w:tcW w:w="500" w:type="dxa"/>
            <w:vAlign w:val="bottom"/>
            <w:gridSpan w:val="2"/>
            <w:vMerge w:val="restart"/>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(2.68)</w:t>
            </w:r>
          </w:p>
        </w:tc>
        <w:tc>
          <w:tcPr>
            <w:tcW w:w="480" w:type="dxa"/>
            <w:vAlign w:val="bottom"/>
            <w:gridSpan w:val="2"/>
            <w:vMerge w:val="restart"/>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75"/>
        </w:trPr>
        <w:tc>
          <w:tcPr>
            <w:tcW w:w="4300" w:type="dxa"/>
            <w:vAlign w:val="bottom"/>
          </w:tcPr>
          <w:p>
            <w:pPr>
              <w:ind w:left="60"/>
              <w:spacing w:after="0" w:line="155" w:lineRule="exact"/>
              <w:rPr>
                <w:sz w:val="20"/>
                <w:szCs w:val="20"/>
                <w:color w:val="auto"/>
              </w:rPr>
            </w:pPr>
            <w:r>
              <w:rPr>
                <w:rFonts w:ascii="Arial" w:cs="Arial" w:eastAsia="Arial" w:hAnsi="Arial"/>
                <w:sz w:val="17"/>
                <w:szCs w:val="17"/>
                <w:color w:val="auto"/>
              </w:rPr>
              <w:t>Basic</w:t>
            </w:r>
          </w:p>
        </w:tc>
        <w:tc>
          <w:tcPr>
            <w:tcW w:w="3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00" w:type="dxa"/>
            <w:vAlign w:val="bottom"/>
          </w:tcPr>
          <w:p>
            <w:pPr>
              <w:ind w:left="60"/>
              <w:spacing w:after="0" w:line="169" w:lineRule="exact"/>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jc w:val="right"/>
              <w:ind w:right="135"/>
              <w:spacing w:after="0" w:line="169"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(1.17)</w:t>
            </w:r>
          </w:p>
        </w:tc>
        <w:tc>
          <w:tcPr>
            <w:tcW w:w="160" w:type="dxa"/>
            <w:vAlign w:val="bottom"/>
            <w:vMerge w:val="continue"/>
          </w:tcPr>
          <w:p>
            <w:pPr>
              <w:spacing w:after="0"/>
              <w:rPr>
                <w:sz w:val="14"/>
                <w:szCs w:val="14"/>
                <w:color w:val="auto"/>
              </w:rPr>
            </w:pPr>
          </w:p>
        </w:tc>
        <w:tc>
          <w:tcPr>
            <w:tcW w:w="480" w:type="dxa"/>
            <w:vAlign w:val="bottom"/>
            <w:tcBorders>
              <w:bottom w:val="single" w:sz="8" w:color="auto"/>
            </w:tcBorders>
          </w:tcPr>
          <w:p>
            <w:pPr>
              <w:jc w:val="right"/>
              <w:ind w:right="295"/>
              <w:spacing w:after="0" w:line="169"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(1.49)</w:t>
            </w:r>
          </w:p>
        </w:tc>
        <w:tc>
          <w:tcPr>
            <w:tcW w:w="180" w:type="dxa"/>
            <w:vAlign w:val="bottom"/>
            <w:vMerge w:val="continue"/>
          </w:tcPr>
          <w:p>
            <w:pPr>
              <w:spacing w:after="0"/>
              <w:rPr>
                <w:sz w:val="14"/>
                <w:szCs w:val="14"/>
                <w:color w:val="auto"/>
              </w:rPr>
            </w:pPr>
          </w:p>
        </w:tc>
        <w:tc>
          <w:tcPr>
            <w:tcW w:w="320" w:type="dxa"/>
            <w:vAlign w:val="bottom"/>
            <w:tcBorders>
              <w:bottom w:val="single" w:sz="8" w:color="auto"/>
            </w:tcBorders>
          </w:tcPr>
          <w:p>
            <w:pPr>
              <w:jc w:val="right"/>
              <w:ind w:right="135"/>
              <w:spacing w:after="0" w:line="169"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(2.68)</w:t>
            </w:r>
          </w:p>
        </w:tc>
        <w:tc>
          <w:tcPr>
            <w:tcW w:w="160" w:type="dxa"/>
            <w:vAlign w:val="bottom"/>
            <w:vMerge w:val="continue"/>
          </w:tcPr>
          <w:p>
            <w:pPr>
              <w:spacing w:after="0"/>
              <w:rPr>
                <w:sz w:val="14"/>
                <w:szCs w:val="14"/>
                <w:color w:val="auto"/>
              </w:rPr>
            </w:pPr>
          </w:p>
        </w:tc>
        <w:tc>
          <w:tcPr>
            <w:tcW w:w="320" w:type="dxa"/>
            <w:vAlign w:val="bottom"/>
            <w:tcBorders>
              <w:bottom w:val="single" w:sz="8" w:color="auto"/>
            </w:tcBorders>
          </w:tcPr>
          <w:p>
            <w:pPr>
              <w:jc w:val="right"/>
              <w:ind w:right="135"/>
              <w:spacing w:after="0" w:line="169"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56" w:lineRule="auto"/>
        <w:rPr>
          <w:sz w:val="20"/>
          <w:szCs w:val="20"/>
          <w:color w:val="auto"/>
        </w:rPr>
      </w:pPr>
      <w:r>
        <w:rPr>
          <w:rFonts w:ascii="Arial" w:cs="Arial" w:eastAsia="Arial" w:hAnsi="Arial"/>
          <w:sz w:val="17"/>
          <w:szCs w:val="17"/>
          <w:color w:val="auto"/>
        </w:rPr>
        <w:t>Shares used in the calculation of net loss per common share: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Basic</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Pr>
          <w:p>
            <w:pPr>
              <w:jc w:val="right"/>
              <w:ind w:right="55"/>
              <w:spacing w:after="0"/>
              <w:rPr>
                <w:sz w:val="20"/>
                <w:szCs w:val="20"/>
                <w:color w:val="auto"/>
              </w:rPr>
            </w:pPr>
            <w:r>
              <w:rPr>
                <w:rFonts w:ascii="Arial" w:cs="Arial" w:eastAsia="Arial" w:hAnsi="Arial"/>
                <w:sz w:val="17"/>
                <w:szCs w:val="17"/>
                <w:color w:val="auto"/>
              </w:rPr>
              <w:t>90,993</w:t>
            </w:r>
          </w:p>
        </w:tc>
        <w:tc>
          <w:tcPr>
            <w:tcW w:w="1760" w:type="dxa"/>
            <w:vAlign w:val="bottom"/>
            <w:gridSpan w:val="2"/>
          </w:tcPr>
          <w:p>
            <w:pPr>
              <w:jc w:val="right"/>
              <w:ind w:right="35"/>
              <w:spacing w:after="0"/>
              <w:rPr>
                <w:sz w:val="20"/>
                <w:szCs w:val="20"/>
                <w:color w:val="auto"/>
              </w:rPr>
            </w:pPr>
            <w:r>
              <w:rPr>
                <w:rFonts w:ascii="Arial" w:cs="Arial" w:eastAsia="Arial" w:hAnsi="Arial"/>
                <w:sz w:val="17"/>
                <w:szCs w:val="17"/>
                <w:color w:val="auto"/>
              </w:rPr>
              <w:t>90,247</w:t>
            </w:r>
          </w:p>
        </w:tc>
        <w:tc>
          <w:tcPr>
            <w:tcW w:w="1780" w:type="dxa"/>
            <w:vAlign w:val="bottom"/>
            <w:gridSpan w:val="2"/>
          </w:tcPr>
          <w:p>
            <w:pPr>
              <w:jc w:val="right"/>
              <w:ind w:right="35"/>
              <w:spacing w:after="0"/>
              <w:rPr>
                <w:sz w:val="20"/>
                <w:szCs w:val="20"/>
                <w:color w:val="auto"/>
              </w:rPr>
            </w:pPr>
            <w:r>
              <w:rPr>
                <w:rFonts w:ascii="Arial" w:cs="Arial" w:eastAsia="Arial" w:hAnsi="Arial"/>
                <w:sz w:val="17"/>
                <w:szCs w:val="17"/>
                <w:color w:val="auto"/>
              </w:rPr>
              <w:t>90,650</w:t>
            </w:r>
          </w:p>
        </w:tc>
        <w:tc>
          <w:tcPr>
            <w:tcW w:w="1760" w:type="dxa"/>
            <w:vAlign w:val="bottom"/>
            <w:gridSpan w:val="2"/>
          </w:tcPr>
          <w:p>
            <w:pPr>
              <w:jc w:val="right"/>
              <w:ind w:right="35"/>
              <w:spacing w:after="0"/>
              <w:rPr>
                <w:sz w:val="20"/>
                <w:szCs w:val="20"/>
                <w:color w:val="auto"/>
              </w:rPr>
            </w:pPr>
            <w:r>
              <w:rPr>
                <w:rFonts w:ascii="Arial" w:cs="Arial" w:eastAsia="Arial" w:hAnsi="Arial"/>
                <w:sz w:val="17"/>
                <w:szCs w:val="17"/>
                <w:color w:val="auto"/>
              </w:rPr>
              <w:t>90,080</w:t>
            </w:r>
          </w:p>
        </w:tc>
        <w:tc>
          <w:tcPr>
            <w:tcW w:w="0" w:type="dxa"/>
            <w:vAlign w:val="bottom"/>
          </w:tcPr>
          <w:p>
            <w:pPr>
              <w:spacing w:after="0"/>
              <w:rPr>
                <w:sz w:val="1"/>
                <w:szCs w:val="1"/>
                <w:color w:val="auto"/>
              </w:rPr>
            </w:pPr>
          </w:p>
        </w:tc>
      </w:tr>
      <w:tr>
        <w:trPr>
          <w:trHeight w:val="20"/>
        </w:trPr>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4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7"/>
                <w:szCs w:val="17"/>
                <w:color w:val="auto"/>
              </w:rPr>
              <w:t>90,993</w:t>
            </w:r>
          </w:p>
        </w:tc>
        <w:tc>
          <w:tcPr>
            <w:tcW w:w="160" w:type="dxa"/>
            <w:vAlign w:val="bottom"/>
            <w:vMerge w:val="continue"/>
          </w:tcPr>
          <w:p>
            <w:pPr>
              <w:spacing w:after="0"/>
              <w:rPr>
                <w:sz w:val="14"/>
                <w:szCs w:val="14"/>
                <w:color w:val="auto"/>
              </w:rPr>
            </w:pPr>
          </w:p>
        </w:tc>
        <w:tc>
          <w:tcPr>
            <w:tcW w:w="1600" w:type="dxa"/>
            <w:vAlign w:val="bottom"/>
            <w:tcBorders>
              <w:bottom w:val="single" w:sz="8" w:color="auto"/>
            </w:tcBorders>
          </w:tcPr>
          <w:p>
            <w:pPr>
              <w:jc w:val="right"/>
              <w:ind w:right="35"/>
              <w:spacing w:after="0" w:line="170" w:lineRule="exact"/>
              <w:rPr>
                <w:sz w:val="20"/>
                <w:szCs w:val="20"/>
                <w:color w:val="auto"/>
              </w:rPr>
            </w:pPr>
            <w:r>
              <w:rPr>
                <w:rFonts w:ascii="Arial" w:cs="Arial" w:eastAsia="Arial" w:hAnsi="Arial"/>
                <w:sz w:val="17"/>
                <w:szCs w:val="17"/>
                <w:color w:val="auto"/>
              </w:rPr>
              <w:t>90,247</w:t>
            </w:r>
          </w:p>
        </w:tc>
        <w:tc>
          <w:tcPr>
            <w:tcW w:w="180" w:type="dxa"/>
            <w:vAlign w:val="bottom"/>
            <w:vMerge w:val="continue"/>
          </w:tcPr>
          <w:p>
            <w:pPr>
              <w:spacing w:after="0"/>
              <w:rPr>
                <w:sz w:val="14"/>
                <w:szCs w:val="14"/>
                <w:color w:val="auto"/>
              </w:rPr>
            </w:pPr>
          </w:p>
        </w:tc>
        <w:tc>
          <w:tcPr>
            <w:tcW w:w="1600" w:type="dxa"/>
            <w:vAlign w:val="bottom"/>
            <w:tcBorders>
              <w:bottom w:val="single" w:sz="8" w:color="auto"/>
            </w:tcBorders>
          </w:tcPr>
          <w:p>
            <w:pPr>
              <w:jc w:val="right"/>
              <w:ind w:right="35"/>
              <w:spacing w:after="0" w:line="170" w:lineRule="exact"/>
              <w:rPr>
                <w:sz w:val="20"/>
                <w:szCs w:val="20"/>
                <w:color w:val="auto"/>
              </w:rPr>
            </w:pPr>
            <w:r>
              <w:rPr>
                <w:rFonts w:ascii="Arial" w:cs="Arial" w:eastAsia="Arial" w:hAnsi="Arial"/>
                <w:sz w:val="17"/>
                <w:szCs w:val="17"/>
                <w:color w:val="auto"/>
              </w:rPr>
              <w:t>90,650</w:t>
            </w:r>
          </w:p>
        </w:tc>
        <w:tc>
          <w:tcPr>
            <w:tcW w:w="160" w:type="dxa"/>
            <w:vAlign w:val="bottom"/>
            <w:vMerge w:val="continue"/>
          </w:tcPr>
          <w:p>
            <w:pPr>
              <w:spacing w:after="0"/>
              <w:rPr>
                <w:sz w:val="14"/>
                <w:szCs w:val="14"/>
                <w:color w:val="auto"/>
              </w:rPr>
            </w:pPr>
          </w:p>
        </w:tc>
        <w:tc>
          <w:tcPr>
            <w:tcW w:w="1600" w:type="dxa"/>
            <w:vAlign w:val="bottom"/>
            <w:tcBorders>
              <w:bottom w:val="single" w:sz="8" w:color="auto"/>
            </w:tcBorders>
          </w:tcPr>
          <w:p>
            <w:pPr>
              <w:jc w:val="right"/>
              <w:ind w:right="35"/>
              <w:spacing w:after="0" w:line="170" w:lineRule="exact"/>
              <w:rPr>
                <w:sz w:val="20"/>
                <w:szCs w:val="20"/>
                <w:color w:val="auto"/>
              </w:rPr>
            </w:pPr>
            <w:r>
              <w:rPr>
                <w:rFonts w:ascii="Arial" w:cs="Arial" w:eastAsia="Arial" w:hAnsi="Arial"/>
                <w:sz w:val="17"/>
                <w:szCs w:val="17"/>
                <w:color w:val="auto"/>
              </w:rPr>
              <w:t>90,080</w:t>
            </w: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2773045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120" w:space="180"/>
            <w:col w:w="6940"/>
          </w:cols>
          <w:pgMar w:left="320" w:top="1413" w:right="339" w:bottom="1440" w:gutter="0" w:footer="0" w:header="0"/>
          <w:type w:val="continuous"/>
        </w:sectPr>
      </w:pPr>
    </w:p>
    <w:bookmarkStart w:id="10" w:name="page11"/>
    <w:bookmarkEnd w:id="10"/>
    <w:p>
      <w:pPr>
        <w:jc w:val="center"/>
        <w:ind w:right="12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Consolidated Balance Sheets</w:t>
      </w:r>
    </w:p>
    <w:p>
      <w:pPr>
        <w:jc w:val="center"/>
        <w:ind w:right="12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40" w:type="dxa"/>
            <w:vAlign w:val="bottom"/>
            <w:vMerge w:val="restart"/>
          </w:tcPr>
          <w:p>
            <w:pPr>
              <w:ind w:left="2420"/>
              <w:spacing w:after="0"/>
              <w:rPr>
                <w:sz w:val="20"/>
                <w:szCs w:val="20"/>
                <w:color w:val="auto"/>
              </w:rPr>
            </w:pPr>
            <w:r>
              <w:rPr>
                <w:rFonts w:ascii="Arial" w:cs="Arial" w:eastAsia="Arial" w:hAnsi="Arial"/>
                <w:sz w:val="17"/>
                <w:szCs w:val="17"/>
                <w:b w:val="1"/>
                <w:bCs w:val="1"/>
                <w:color w:val="auto"/>
              </w:rPr>
              <w:t>ASSETS</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March 31, 2026</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June 30, 2025</w:t>
            </w:r>
          </w:p>
        </w:tc>
        <w:tc>
          <w:tcPr>
            <w:tcW w:w="0" w:type="dxa"/>
            <w:vAlign w:val="bottom"/>
          </w:tcPr>
          <w:p>
            <w:pPr>
              <w:spacing w:after="0"/>
              <w:rPr>
                <w:sz w:val="1"/>
                <w:szCs w:val="1"/>
                <w:color w:val="auto"/>
              </w:rPr>
            </w:pPr>
          </w:p>
        </w:tc>
      </w:tr>
      <w:tr>
        <w:trPr>
          <w:trHeight w:val="160"/>
        </w:trPr>
        <w:tc>
          <w:tcPr>
            <w:tcW w:w="55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Cash and cash equivalents</w:t>
            </w:r>
          </w:p>
        </w:tc>
        <w:tc>
          <w:tcPr>
            <w:tcW w:w="380" w:type="dxa"/>
            <w:vAlign w:val="bottom"/>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44,311</w:t>
            </w:r>
          </w:p>
        </w:tc>
        <w:tc>
          <w:tcPr>
            <w:tcW w:w="760" w:type="dxa"/>
            <w:vAlign w:val="bottom"/>
            <w:gridSpan w:val="2"/>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54,355</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Accounts receivable, net</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138,816</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154,440</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Inventories</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159,071</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248,731</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84,230</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43,169</w:t>
            </w:r>
          </w:p>
        </w:tc>
        <w:tc>
          <w:tcPr>
            <w:tcW w:w="0" w:type="dxa"/>
            <w:vAlign w:val="bottom"/>
          </w:tcPr>
          <w:p>
            <w:pPr>
              <w:spacing w:after="0"/>
              <w:rPr>
                <w:sz w:val="1"/>
                <w:szCs w:val="1"/>
                <w:color w:val="auto"/>
              </w:rPr>
            </w:pPr>
          </w:p>
        </w:tc>
      </w:tr>
      <w:tr>
        <w:trPr>
          <w:trHeight w:val="211"/>
        </w:trPr>
        <w:tc>
          <w:tcPr>
            <w:tcW w:w="5540" w:type="dxa"/>
            <w:vAlign w:val="bottom"/>
          </w:tcPr>
          <w:p>
            <w:pPr>
              <w:ind w:left="80"/>
              <w:spacing w:after="0"/>
              <w:rPr>
                <w:sz w:val="20"/>
                <w:szCs w:val="20"/>
                <w:color w:val="auto"/>
              </w:rPr>
            </w:pPr>
            <w:r>
              <w:rPr>
                <w:rFonts w:ascii="Arial" w:cs="Arial" w:eastAsia="Arial" w:hAnsi="Arial"/>
                <w:sz w:val="17"/>
                <w:szCs w:val="17"/>
                <w:color w:val="auto"/>
              </w:rPr>
              <w:t>Assets held for sale</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9,437</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29,603</w:t>
            </w:r>
          </w:p>
        </w:tc>
        <w:tc>
          <w:tcPr>
            <w:tcW w:w="0" w:type="dxa"/>
            <w:vAlign w:val="bottom"/>
          </w:tcPr>
          <w:p>
            <w:pPr>
              <w:spacing w:after="0"/>
              <w:rPr>
                <w:sz w:val="1"/>
                <w:szCs w:val="1"/>
                <w:color w:val="auto"/>
              </w:rPr>
            </w:pPr>
          </w:p>
        </w:tc>
      </w:tr>
      <w:tr>
        <w:trPr>
          <w:trHeight w:val="160"/>
        </w:trPr>
        <w:tc>
          <w:tcPr>
            <w:tcW w:w="5540" w:type="dxa"/>
            <w:vAlign w:val="bottom"/>
          </w:tcPr>
          <w:p>
            <w:pPr>
              <w:spacing w:after="0" w:line="160" w:lineRule="exact"/>
              <w:rPr>
                <w:sz w:val="20"/>
                <w:szCs w:val="20"/>
                <w:color w:val="auto"/>
              </w:rPr>
            </w:pPr>
            <w:r>
              <w:rPr>
                <w:rFonts w:ascii="Arial" w:cs="Arial" w:eastAsia="Arial" w:hAnsi="Arial"/>
                <w:sz w:val="17"/>
                <w:szCs w:val="17"/>
                <w:color w:val="auto"/>
              </w:rPr>
              <w:t>Total current assets</w:t>
            </w:r>
          </w:p>
        </w:tc>
        <w:tc>
          <w:tcPr>
            <w:tcW w:w="380" w:type="dxa"/>
            <w:vAlign w:val="bottom"/>
          </w:tcPr>
          <w:p>
            <w:pPr>
              <w:spacing w:after="0"/>
              <w:rPr>
                <w:sz w:val="13"/>
                <w:szCs w:val="13"/>
                <w:color w:val="auto"/>
              </w:rPr>
            </w:pPr>
          </w:p>
        </w:tc>
        <w:tc>
          <w:tcPr>
            <w:tcW w:w="2300" w:type="dxa"/>
            <w:vAlign w:val="bottom"/>
          </w:tcPr>
          <w:p>
            <w:pPr>
              <w:jc w:val="right"/>
              <w:ind w:right="35"/>
              <w:spacing w:after="0" w:line="160" w:lineRule="exact"/>
              <w:rPr>
                <w:sz w:val="20"/>
                <w:szCs w:val="20"/>
                <w:color w:val="auto"/>
              </w:rPr>
            </w:pPr>
            <w:r>
              <w:rPr>
                <w:rFonts w:ascii="Arial" w:cs="Arial" w:eastAsia="Arial" w:hAnsi="Arial"/>
                <w:sz w:val="17"/>
                <w:szCs w:val="17"/>
                <w:color w:val="auto"/>
              </w:rPr>
              <w:t>435,865</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tcPr>
          <w:p>
            <w:pPr>
              <w:jc w:val="right"/>
              <w:ind w:right="35"/>
              <w:spacing w:after="0" w:line="160" w:lineRule="exact"/>
              <w:rPr>
                <w:sz w:val="20"/>
                <w:szCs w:val="20"/>
                <w:color w:val="auto"/>
              </w:rPr>
            </w:pPr>
            <w:r>
              <w:rPr>
                <w:rFonts w:ascii="Arial" w:cs="Arial" w:eastAsia="Arial" w:hAnsi="Arial"/>
                <w:sz w:val="17"/>
                <w:szCs w:val="17"/>
                <w:color w:val="auto"/>
              </w:rPr>
              <w:t>530,298</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Property, plant and equipment, net</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188,104</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264,730</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288,297</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500,961</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Trademarks and other intangible assets, net</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178,286</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210,905</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Operating lease right-of-use assets, net</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51,340</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71,171</w:t>
            </w:r>
          </w:p>
        </w:tc>
        <w:tc>
          <w:tcPr>
            <w:tcW w:w="0" w:type="dxa"/>
            <w:vAlign w:val="bottom"/>
          </w:tcPr>
          <w:p>
            <w:pPr>
              <w:spacing w:after="0"/>
              <w:rPr>
                <w:sz w:val="1"/>
                <w:szCs w:val="1"/>
                <w:color w:val="auto"/>
              </w:rPr>
            </w:pPr>
          </w:p>
        </w:tc>
      </w:tr>
      <w:tr>
        <w:trPr>
          <w:trHeight w:val="211"/>
        </w:trPr>
        <w:tc>
          <w:tcPr>
            <w:tcW w:w="5540" w:type="dxa"/>
            <w:vAlign w:val="bottom"/>
          </w:tcPr>
          <w:p>
            <w:pPr>
              <w:ind w:left="8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20,829</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25,213</w:t>
            </w:r>
          </w:p>
        </w:tc>
        <w:tc>
          <w:tcPr>
            <w:tcW w:w="0" w:type="dxa"/>
            <w:vAlign w:val="bottom"/>
          </w:tcPr>
          <w:p>
            <w:pPr>
              <w:spacing w:after="0"/>
              <w:rPr>
                <w:sz w:val="1"/>
                <w:szCs w:val="1"/>
                <w:color w:val="auto"/>
              </w:rPr>
            </w:pPr>
          </w:p>
        </w:tc>
      </w:tr>
      <w:tr>
        <w:trPr>
          <w:trHeight w:val="183"/>
        </w:trPr>
        <w:tc>
          <w:tcPr>
            <w:tcW w:w="5540" w:type="dxa"/>
            <w:vAlign w:val="bottom"/>
          </w:tcPr>
          <w:p>
            <w:pPr>
              <w:spacing w:after="0" w:line="169" w:lineRule="exact"/>
              <w:rPr>
                <w:sz w:val="20"/>
                <w:szCs w:val="20"/>
                <w:color w:val="auto"/>
              </w:rPr>
            </w:pPr>
            <w:r>
              <w:rPr>
                <w:rFonts w:ascii="Arial" w:cs="Arial" w:eastAsia="Arial" w:hAnsi="Arial"/>
                <w:sz w:val="17"/>
                <w:szCs w:val="17"/>
                <w:color w:val="auto"/>
              </w:rPr>
              <w:t>Total assets</w:t>
            </w:r>
          </w:p>
        </w:tc>
        <w:tc>
          <w:tcPr>
            <w:tcW w:w="380" w:type="dxa"/>
            <w:vAlign w:val="bottom"/>
            <w:tcBorders>
              <w:bottom w:val="single" w:sz="8" w:color="auto"/>
            </w:tcBorders>
          </w:tcPr>
          <w:p>
            <w:pPr>
              <w:jc w:val="right"/>
              <w:ind w:right="195"/>
              <w:spacing w:after="0" w:line="169" w:lineRule="exact"/>
              <w:rPr>
                <w:sz w:val="20"/>
                <w:szCs w:val="20"/>
                <w:color w:val="auto"/>
              </w:rPr>
            </w:pPr>
            <w:r>
              <w:rPr>
                <w:rFonts w:ascii="Arial" w:cs="Arial" w:eastAsia="Arial" w:hAnsi="Arial"/>
                <w:sz w:val="17"/>
                <w:szCs w:val="17"/>
                <w:color w:val="auto"/>
                <w:w w:val="84"/>
              </w:rPr>
              <w:t>$</w:t>
            </w:r>
          </w:p>
        </w:tc>
        <w:tc>
          <w:tcPr>
            <w:tcW w:w="23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1,162,721</w:t>
            </w:r>
          </w:p>
        </w:tc>
        <w:tc>
          <w:tcPr>
            <w:tcW w:w="360" w:type="dxa"/>
            <w:vAlign w:val="bottom"/>
          </w:tcPr>
          <w:p>
            <w:pPr>
              <w:spacing w:after="0"/>
              <w:rPr>
                <w:sz w:val="15"/>
                <w:szCs w:val="15"/>
                <w:color w:val="auto"/>
              </w:rPr>
            </w:pPr>
          </w:p>
        </w:tc>
        <w:tc>
          <w:tcPr>
            <w:tcW w:w="400" w:type="dxa"/>
            <w:vAlign w:val="bottom"/>
            <w:tcBorders>
              <w:bottom w:val="single" w:sz="8" w:color="auto"/>
            </w:tcBorders>
          </w:tcPr>
          <w:p>
            <w:pPr>
              <w:jc w:val="right"/>
              <w:ind w:right="215"/>
              <w:spacing w:after="0" w:line="169" w:lineRule="exact"/>
              <w:rPr>
                <w:sz w:val="20"/>
                <w:szCs w:val="20"/>
                <w:color w:val="auto"/>
              </w:rPr>
            </w:pPr>
            <w:r>
              <w:rPr>
                <w:rFonts w:ascii="Arial" w:cs="Arial" w:eastAsia="Arial" w:hAnsi="Arial"/>
                <w:sz w:val="17"/>
                <w:szCs w:val="17"/>
                <w:color w:val="auto"/>
                <w:w w:val="84"/>
              </w:rPr>
              <w:t>$</w:t>
            </w:r>
          </w:p>
        </w:tc>
        <w:tc>
          <w:tcPr>
            <w:tcW w:w="226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1,603,278</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960"/>
              <w:spacing w:after="0" w:line="187" w:lineRule="exact"/>
              <w:rPr>
                <w:sz w:val="20"/>
                <w:szCs w:val="20"/>
                <w:color w:val="auto"/>
              </w:rPr>
            </w:pPr>
            <w:r>
              <w:rPr>
                <w:rFonts w:ascii="Arial" w:cs="Arial" w:eastAsia="Arial" w:hAnsi="Arial"/>
                <w:sz w:val="17"/>
                <w:szCs w:val="17"/>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Accounts payable</w:t>
            </w:r>
          </w:p>
        </w:tc>
        <w:tc>
          <w:tcPr>
            <w:tcW w:w="380" w:type="dxa"/>
            <w:vAlign w:val="bottom"/>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151,926</w:t>
            </w:r>
          </w:p>
        </w:tc>
        <w:tc>
          <w:tcPr>
            <w:tcW w:w="760" w:type="dxa"/>
            <w:vAlign w:val="bottom"/>
            <w:gridSpan w:val="2"/>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188,307</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129,199</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68,426</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Current portion of long-term debt</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549,184</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7,653</w:t>
            </w:r>
          </w:p>
        </w:tc>
        <w:tc>
          <w:tcPr>
            <w:tcW w:w="0" w:type="dxa"/>
            <w:vAlign w:val="bottom"/>
          </w:tcPr>
          <w:p>
            <w:pPr>
              <w:spacing w:after="0"/>
              <w:rPr>
                <w:sz w:val="1"/>
                <w:szCs w:val="1"/>
                <w:color w:val="auto"/>
              </w:rPr>
            </w:pPr>
          </w:p>
        </w:tc>
      </w:tr>
      <w:tr>
        <w:trPr>
          <w:trHeight w:val="211"/>
        </w:trPr>
        <w:tc>
          <w:tcPr>
            <w:tcW w:w="5540" w:type="dxa"/>
            <w:vAlign w:val="bottom"/>
          </w:tcPr>
          <w:p>
            <w:pPr>
              <w:ind w:left="80"/>
              <w:spacing w:after="0"/>
              <w:rPr>
                <w:sz w:val="20"/>
                <w:szCs w:val="20"/>
                <w:color w:val="auto"/>
              </w:rPr>
            </w:pPr>
            <w:r>
              <w:rPr>
                <w:rFonts w:ascii="Arial" w:cs="Arial" w:eastAsia="Arial" w:hAnsi="Arial"/>
                <w:sz w:val="17"/>
                <w:szCs w:val="17"/>
                <w:color w:val="auto"/>
              </w:rPr>
              <w:t>Liabilities related to assets held for sale</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4,594</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12,987</w:t>
            </w:r>
          </w:p>
        </w:tc>
        <w:tc>
          <w:tcPr>
            <w:tcW w:w="0" w:type="dxa"/>
            <w:vAlign w:val="bottom"/>
          </w:tcPr>
          <w:p>
            <w:pPr>
              <w:spacing w:after="0"/>
              <w:rPr>
                <w:sz w:val="1"/>
                <w:szCs w:val="1"/>
                <w:color w:val="auto"/>
              </w:rPr>
            </w:pPr>
          </w:p>
        </w:tc>
      </w:tr>
      <w:tr>
        <w:trPr>
          <w:trHeight w:val="160"/>
        </w:trPr>
        <w:tc>
          <w:tcPr>
            <w:tcW w:w="5540" w:type="dxa"/>
            <w:vAlign w:val="bottom"/>
          </w:tcPr>
          <w:p>
            <w:pPr>
              <w:spacing w:after="0" w:line="160" w:lineRule="exact"/>
              <w:rPr>
                <w:sz w:val="20"/>
                <w:szCs w:val="20"/>
                <w:color w:val="auto"/>
              </w:rPr>
            </w:pPr>
            <w:r>
              <w:rPr>
                <w:rFonts w:ascii="Arial" w:cs="Arial" w:eastAsia="Arial" w:hAnsi="Arial"/>
                <w:sz w:val="17"/>
                <w:szCs w:val="17"/>
                <w:color w:val="auto"/>
              </w:rPr>
              <w:t>Total current liabilities</w:t>
            </w:r>
          </w:p>
        </w:tc>
        <w:tc>
          <w:tcPr>
            <w:tcW w:w="380" w:type="dxa"/>
            <w:vAlign w:val="bottom"/>
          </w:tcPr>
          <w:p>
            <w:pPr>
              <w:spacing w:after="0"/>
              <w:rPr>
                <w:sz w:val="13"/>
                <w:szCs w:val="13"/>
                <w:color w:val="auto"/>
              </w:rPr>
            </w:pPr>
          </w:p>
        </w:tc>
        <w:tc>
          <w:tcPr>
            <w:tcW w:w="2300" w:type="dxa"/>
            <w:vAlign w:val="bottom"/>
          </w:tcPr>
          <w:p>
            <w:pPr>
              <w:jc w:val="right"/>
              <w:ind w:right="35"/>
              <w:spacing w:after="0" w:line="160" w:lineRule="exact"/>
              <w:rPr>
                <w:sz w:val="20"/>
                <w:szCs w:val="20"/>
                <w:color w:val="auto"/>
              </w:rPr>
            </w:pPr>
            <w:r>
              <w:rPr>
                <w:rFonts w:ascii="Arial" w:cs="Arial" w:eastAsia="Arial" w:hAnsi="Arial"/>
                <w:sz w:val="17"/>
                <w:szCs w:val="17"/>
                <w:color w:val="auto"/>
              </w:rPr>
              <w:t>834,903</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tcPr>
          <w:p>
            <w:pPr>
              <w:jc w:val="right"/>
              <w:ind w:right="35"/>
              <w:spacing w:after="0" w:line="160" w:lineRule="exact"/>
              <w:rPr>
                <w:sz w:val="20"/>
                <w:szCs w:val="20"/>
                <w:color w:val="auto"/>
              </w:rPr>
            </w:pPr>
            <w:r>
              <w:rPr>
                <w:rFonts w:ascii="Arial" w:cs="Arial" w:eastAsia="Arial" w:hAnsi="Arial"/>
                <w:sz w:val="17"/>
                <w:szCs w:val="17"/>
                <w:color w:val="auto"/>
              </w:rPr>
              <w:t>277,373</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Long-term debt, less current portion</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312</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697,168</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Deferred income taxes</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38,349</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40,332</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Operating lease liabilities, noncurrent portion</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46,303</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65,284</w:t>
            </w:r>
          </w:p>
        </w:tc>
        <w:tc>
          <w:tcPr>
            <w:tcW w:w="0" w:type="dxa"/>
            <w:vAlign w:val="bottom"/>
          </w:tcPr>
          <w:p>
            <w:pPr>
              <w:spacing w:after="0"/>
              <w:rPr>
                <w:sz w:val="1"/>
                <w:szCs w:val="1"/>
                <w:color w:val="auto"/>
              </w:rPr>
            </w:pPr>
          </w:p>
        </w:tc>
      </w:tr>
      <w:tr>
        <w:trPr>
          <w:trHeight w:val="211"/>
        </w:trPr>
        <w:tc>
          <w:tcPr>
            <w:tcW w:w="5540" w:type="dxa"/>
            <w:vAlign w:val="bottom"/>
          </w:tcPr>
          <w:p>
            <w:pPr>
              <w:ind w:left="80"/>
              <w:spacing w:after="0"/>
              <w:rPr>
                <w:sz w:val="20"/>
                <w:szCs w:val="20"/>
                <w:color w:val="auto"/>
              </w:rPr>
            </w:pPr>
            <w:r>
              <w:rPr>
                <w:rFonts w:ascii="Arial" w:cs="Arial" w:eastAsia="Arial" w:hAnsi="Arial"/>
                <w:sz w:val="17"/>
                <w:szCs w:val="17"/>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27,308</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48,116</w:t>
            </w:r>
          </w:p>
        </w:tc>
        <w:tc>
          <w:tcPr>
            <w:tcW w:w="0" w:type="dxa"/>
            <w:vAlign w:val="bottom"/>
          </w:tcPr>
          <w:p>
            <w:pPr>
              <w:spacing w:after="0"/>
              <w:rPr>
                <w:sz w:val="1"/>
                <w:szCs w:val="1"/>
                <w:color w:val="auto"/>
              </w:rPr>
            </w:pPr>
          </w:p>
        </w:tc>
      </w:tr>
      <w:tr>
        <w:trPr>
          <w:trHeight w:val="160"/>
        </w:trPr>
        <w:tc>
          <w:tcPr>
            <w:tcW w:w="5540" w:type="dxa"/>
            <w:vAlign w:val="bottom"/>
          </w:tcPr>
          <w:p>
            <w:pPr>
              <w:spacing w:after="0" w:line="160" w:lineRule="exact"/>
              <w:rPr>
                <w:sz w:val="20"/>
                <w:szCs w:val="20"/>
                <w:color w:val="auto"/>
              </w:rPr>
            </w:pPr>
            <w:r>
              <w:rPr>
                <w:rFonts w:ascii="Arial" w:cs="Arial" w:eastAsia="Arial" w:hAnsi="Arial"/>
                <w:sz w:val="17"/>
                <w:szCs w:val="17"/>
                <w:color w:val="auto"/>
              </w:rPr>
              <w:t>Total liabilities</w:t>
            </w:r>
          </w:p>
        </w:tc>
        <w:tc>
          <w:tcPr>
            <w:tcW w:w="380" w:type="dxa"/>
            <w:vAlign w:val="bottom"/>
          </w:tcPr>
          <w:p>
            <w:pPr>
              <w:spacing w:after="0"/>
              <w:rPr>
                <w:sz w:val="13"/>
                <w:szCs w:val="13"/>
                <w:color w:val="auto"/>
              </w:rPr>
            </w:pPr>
          </w:p>
        </w:tc>
        <w:tc>
          <w:tcPr>
            <w:tcW w:w="2300" w:type="dxa"/>
            <w:vAlign w:val="bottom"/>
          </w:tcPr>
          <w:p>
            <w:pPr>
              <w:jc w:val="right"/>
              <w:ind w:right="35"/>
              <w:spacing w:after="0" w:line="160" w:lineRule="exact"/>
              <w:rPr>
                <w:sz w:val="20"/>
                <w:szCs w:val="20"/>
                <w:color w:val="auto"/>
              </w:rPr>
            </w:pPr>
            <w:r>
              <w:rPr>
                <w:rFonts w:ascii="Arial" w:cs="Arial" w:eastAsia="Arial" w:hAnsi="Arial"/>
                <w:sz w:val="17"/>
                <w:szCs w:val="17"/>
                <w:color w:val="auto"/>
              </w:rPr>
              <w:t>947,175</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tcPr>
          <w:p>
            <w:pPr>
              <w:jc w:val="right"/>
              <w:ind w:right="35"/>
              <w:spacing w:after="0" w:line="160" w:lineRule="exact"/>
              <w:rPr>
                <w:sz w:val="20"/>
                <w:szCs w:val="20"/>
                <w:color w:val="auto"/>
              </w:rPr>
            </w:pPr>
            <w:r>
              <w:rPr>
                <w:rFonts w:ascii="Arial" w:cs="Arial" w:eastAsia="Arial" w:hAnsi="Arial"/>
                <w:sz w:val="17"/>
                <w:szCs w:val="17"/>
                <w:color w:val="auto"/>
              </w:rPr>
              <w:t>1,128,273</w:t>
            </w: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Common stock</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1,135</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Additional paid-in capital</w:t>
            </w:r>
          </w:p>
        </w:tc>
        <w:tc>
          <w:tcPr>
            <w:tcW w:w="380" w:type="dxa"/>
            <w:vAlign w:val="bottom"/>
          </w:tcPr>
          <w:p>
            <w:pPr>
              <w:spacing w:after="0"/>
              <w:rPr>
                <w:sz w:val="16"/>
                <w:szCs w:val="16"/>
                <w:color w:val="auto"/>
              </w:rPr>
            </w:pPr>
          </w:p>
        </w:tc>
        <w:tc>
          <w:tcPr>
            <w:tcW w:w="2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1,242,584</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1,238,402</w:t>
            </w:r>
          </w:p>
        </w:tc>
        <w:tc>
          <w:tcPr>
            <w:tcW w:w="0" w:type="dxa"/>
            <w:vAlign w:val="bottom"/>
          </w:tcPr>
          <w:p>
            <w:pPr>
              <w:spacing w:after="0"/>
              <w:rPr>
                <w:sz w:val="1"/>
                <w:szCs w:val="1"/>
                <w:color w:val="auto"/>
              </w:rPr>
            </w:pPr>
          </w:p>
        </w:tc>
      </w:tr>
      <w:tr>
        <w:trPr>
          <w:trHeight w:val="189"/>
        </w:trPr>
        <w:tc>
          <w:tcPr>
            <w:tcW w:w="5540" w:type="dxa"/>
            <w:vAlign w:val="bottom"/>
          </w:tcPr>
          <w:p>
            <w:pPr>
              <w:ind w:left="80"/>
              <w:spacing w:after="0" w:line="189" w:lineRule="exact"/>
              <w:rPr>
                <w:sz w:val="20"/>
                <w:szCs w:val="20"/>
                <w:color w:val="auto"/>
              </w:rPr>
            </w:pPr>
            <w:r>
              <w:rPr>
                <w:rFonts w:ascii="Arial" w:cs="Arial" w:eastAsia="Arial" w:hAnsi="Arial"/>
                <w:sz w:val="17"/>
                <w:szCs w:val="17"/>
                <w:color w:val="auto"/>
              </w:rPr>
              <w:t>Retained (deficit) earnings</w:t>
            </w:r>
          </w:p>
        </w:tc>
        <w:tc>
          <w:tcPr>
            <w:tcW w:w="380" w:type="dxa"/>
            <w:vAlign w:val="bottom"/>
          </w:tcPr>
          <w:p>
            <w:pPr>
              <w:spacing w:after="0"/>
              <w:rPr>
                <w:sz w:val="16"/>
                <w:szCs w:val="16"/>
                <w:color w:val="auto"/>
              </w:rPr>
            </w:pPr>
          </w:p>
        </w:tc>
        <w:tc>
          <w:tcPr>
            <w:tcW w:w="2300" w:type="dxa"/>
            <w:vAlign w:val="bottom"/>
          </w:tcPr>
          <w:p>
            <w:pPr>
              <w:jc w:val="right"/>
              <w:spacing w:after="0" w:line="189" w:lineRule="exact"/>
              <w:rPr>
                <w:sz w:val="20"/>
                <w:szCs w:val="20"/>
                <w:color w:val="auto"/>
              </w:rPr>
            </w:pPr>
            <w:r>
              <w:rPr>
                <w:rFonts w:ascii="Arial" w:cs="Arial" w:eastAsia="Arial" w:hAnsi="Arial"/>
                <w:sz w:val="17"/>
                <w:szCs w:val="17"/>
                <w:color w:val="auto"/>
              </w:rPr>
              <w:t>(196,296)</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46,678</w:t>
            </w:r>
          </w:p>
        </w:tc>
        <w:tc>
          <w:tcPr>
            <w:tcW w:w="0" w:type="dxa"/>
            <w:vAlign w:val="bottom"/>
          </w:tcPr>
          <w:p>
            <w:pPr>
              <w:spacing w:after="0"/>
              <w:rPr>
                <w:sz w:val="1"/>
                <w:szCs w:val="1"/>
                <w:color w:val="auto"/>
              </w:rPr>
            </w:pPr>
          </w:p>
        </w:tc>
      </w:tr>
      <w:tr>
        <w:trPr>
          <w:trHeight w:val="211"/>
        </w:trPr>
        <w:tc>
          <w:tcPr>
            <w:tcW w:w="554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(101,387)</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(81,053)</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00" w:type="dxa"/>
            <w:vAlign w:val="bottom"/>
          </w:tcPr>
          <w:p>
            <w:pPr>
              <w:jc w:val="right"/>
              <w:ind w:right="35"/>
              <w:spacing w:after="0" w:line="160" w:lineRule="exact"/>
              <w:rPr>
                <w:sz w:val="20"/>
                <w:szCs w:val="20"/>
                <w:color w:val="auto"/>
              </w:rPr>
            </w:pPr>
            <w:r>
              <w:rPr>
                <w:rFonts w:ascii="Arial" w:cs="Arial" w:eastAsia="Arial" w:hAnsi="Arial"/>
                <w:sz w:val="17"/>
                <w:szCs w:val="17"/>
                <w:color w:val="auto"/>
              </w:rPr>
              <w:t>946,036</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tcPr>
          <w:p>
            <w:pPr>
              <w:jc w:val="right"/>
              <w:ind w:right="35"/>
              <w:spacing w:after="0" w:line="160" w:lineRule="exact"/>
              <w:rPr>
                <w:sz w:val="20"/>
                <w:szCs w:val="20"/>
                <w:color w:val="auto"/>
              </w:rPr>
            </w:pPr>
            <w:r>
              <w:rPr>
                <w:rFonts w:ascii="Arial" w:cs="Arial" w:eastAsia="Arial" w:hAnsi="Arial"/>
                <w:sz w:val="17"/>
                <w:szCs w:val="17"/>
                <w:color w:val="auto"/>
              </w:rPr>
              <w:t>1,205,152</w:t>
            </w:r>
          </w:p>
        </w:tc>
        <w:tc>
          <w:tcPr>
            <w:tcW w:w="0" w:type="dxa"/>
            <w:vAlign w:val="bottom"/>
          </w:tcPr>
          <w:p>
            <w:pPr>
              <w:spacing w:after="0"/>
              <w:rPr>
                <w:sz w:val="1"/>
                <w:szCs w:val="1"/>
                <w:color w:val="auto"/>
              </w:rPr>
            </w:pPr>
          </w:p>
        </w:tc>
      </w:tr>
      <w:tr>
        <w:trPr>
          <w:trHeight w:val="211"/>
        </w:trPr>
        <w:tc>
          <w:tcPr>
            <w:tcW w:w="5540" w:type="dxa"/>
            <w:vAlign w:val="bottom"/>
          </w:tcPr>
          <w:p>
            <w:pPr>
              <w:ind w:left="80"/>
              <w:spacing w:after="0"/>
              <w:rPr>
                <w:sz w:val="20"/>
                <w:szCs w:val="20"/>
                <w:color w:val="auto"/>
              </w:rPr>
            </w:pPr>
            <w:r>
              <w:rPr>
                <w:rFonts w:ascii="Arial" w:cs="Arial" w:eastAsia="Arial" w:hAnsi="Arial"/>
                <w:sz w:val="17"/>
                <w:szCs w:val="17"/>
                <w:color w:val="auto"/>
              </w:rPr>
              <w:t>Less: Treasury stock</w:t>
            </w: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(730,490)</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(730,147)</w:t>
            </w:r>
          </w:p>
        </w:tc>
        <w:tc>
          <w:tcPr>
            <w:tcW w:w="0" w:type="dxa"/>
            <w:vAlign w:val="bottom"/>
          </w:tcPr>
          <w:p>
            <w:pPr>
              <w:spacing w:after="0"/>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7"/>
                <w:szCs w:val="17"/>
                <w:color w:val="auto"/>
              </w:rPr>
              <w:t>Total stockholders' equity</w:t>
            </w:r>
          </w:p>
        </w:tc>
        <w:tc>
          <w:tcPr>
            <w:tcW w:w="3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215,546</w:t>
            </w:r>
          </w:p>
        </w:tc>
        <w:tc>
          <w:tcPr>
            <w:tcW w:w="3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475,005</w:t>
            </w:r>
          </w:p>
        </w:tc>
        <w:tc>
          <w:tcPr>
            <w:tcW w:w="0" w:type="dxa"/>
            <w:vAlign w:val="bottom"/>
          </w:tcPr>
          <w:p>
            <w:pPr>
              <w:spacing w:after="0"/>
              <w:rPr>
                <w:sz w:val="1"/>
                <w:szCs w:val="1"/>
                <w:color w:val="auto"/>
              </w:rPr>
            </w:pPr>
          </w:p>
        </w:tc>
      </w:tr>
      <w:tr>
        <w:trPr>
          <w:trHeight w:val="183"/>
        </w:trPr>
        <w:tc>
          <w:tcPr>
            <w:tcW w:w="5540" w:type="dxa"/>
            <w:vAlign w:val="bottom"/>
          </w:tcPr>
          <w:p>
            <w:pPr>
              <w:spacing w:after="0" w:line="169" w:lineRule="exact"/>
              <w:rPr>
                <w:sz w:val="20"/>
                <w:szCs w:val="20"/>
                <w:color w:val="auto"/>
              </w:rPr>
            </w:pPr>
            <w:r>
              <w:rPr>
                <w:rFonts w:ascii="Arial" w:cs="Arial" w:eastAsia="Arial" w:hAnsi="Arial"/>
                <w:sz w:val="17"/>
                <w:szCs w:val="17"/>
                <w:color w:val="auto"/>
              </w:rPr>
              <w:t>Total liabilities and stockholders' equity</w:t>
            </w:r>
          </w:p>
        </w:tc>
        <w:tc>
          <w:tcPr>
            <w:tcW w:w="380" w:type="dxa"/>
            <w:vAlign w:val="bottom"/>
            <w:tcBorders>
              <w:bottom w:val="single" w:sz="8" w:color="auto"/>
            </w:tcBorders>
          </w:tcPr>
          <w:p>
            <w:pPr>
              <w:jc w:val="right"/>
              <w:ind w:right="195"/>
              <w:spacing w:after="0" w:line="169" w:lineRule="exact"/>
              <w:rPr>
                <w:sz w:val="20"/>
                <w:szCs w:val="20"/>
                <w:color w:val="auto"/>
              </w:rPr>
            </w:pPr>
            <w:r>
              <w:rPr>
                <w:rFonts w:ascii="Arial" w:cs="Arial" w:eastAsia="Arial" w:hAnsi="Arial"/>
                <w:sz w:val="17"/>
                <w:szCs w:val="17"/>
                <w:color w:val="auto"/>
                <w:w w:val="84"/>
              </w:rPr>
              <w:t>$</w:t>
            </w:r>
          </w:p>
        </w:tc>
        <w:tc>
          <w:tcPr>
            <w:tcW w:w="23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1,162,721</w:t>
            </w:r>
          </w:p>
        </w:tc>
        <w:tc>
          <w:tcPr>
            <w:tcW w:w="360" w:type="dxa"/>
            <w:vAlign w:val="bottom"/>
          </w:tcPr>
          <w:p>
            <w:pPr>
              <w:spacing w:after="0"/>
              <w:rPr>
                <w:sz w:val="15"/>
                <w:szCs w:val="15"/>
                <w:color w:val="auto"/>
              </w:rPr>
            </w:pPr>
          </w:p>
        </w:tc>
        <w:tc>
          <w:tcPr>
            <w:tcW w:w="400" w:type="dxa"/>
            <w:vAlign w:val="bottom"/>
            <w:tcBorders>
              <w:bottom w:val="single" w:sz="8" w:color="auto"/>
            </w:tcBorders>
          </w:tcPr>
          <w:p>
            <w:pPr>
              <w:jc w:val="right"/>
              <w:ind w:right="215"/>
              <w:spacing w:after="0" w:line="169" w:lineRule="exact"/>
              <w:rPr>
                <w:sz w:val="20"/>
                <w:szCs w:val="20"/>
                <w:color w:val="auto"/>
              </w:rPr>
            </w:pPr>
            <w:r>
              <w:rPr>
                <w:rFonts w:ascii="Arial" w:cs="Arial" w:eastAsia="Arial" w:hAnsi="Arial"/>
                <w:sz w:val="17"/>
                <w:szCs w:val="17"/>
                <w:color w:val="auto"/>
                <w:w w:val="84"/>
              </w:rPr>
              <w:t>$</w:t>
            </w:r>
          </w:p>
        </w:tc>
        <w:tc>
          <w:tcPr>
            <w:tcW w:w="226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1,603,278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2867660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6"/>
          <w:szCs w:val="16"/>
          <w:b w:val="1"/>
          <w:bCs w:val="1"/>
          <w:color w:val="auto"/>
        </w:rPr>
        <w:t>THE HAIN CELESTIAL GROUP, INC. AND SUBSIDIARIES</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 and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Third Quarter</w:t>
            </w:r>
          </w:p>
        </w:tc>
        <w:tc>
          <w:tcPr>
            <w:tcW w:w="1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Third Quarter Year to Date</w:t>
            </w:r>
          </w:p>
        </w:tc>
        <w:tc>
          <w:tcPr>
            <w:tcW w:w="0" w:type="dxa"/>
            <w:vAlign w:val="bottom"/>
          </w:tcPr>
          <w:p>
            <w:pPr>
              <w:spacing w:after="0"/>
              <w:rPr>
                <w:sz w:val="1"/>
                <w:szCs w:val="1"/>
                <w:color w:val="auto"/>
              </w:rPr>
            </w:pPr>
          </w:p>
        </w:tc>
      </w:tr>
      <w:tr>
        <w:trPr>
          <w:trHeight w:val="183"/>
        </w:trPr>
        <w:tc>
          <w:tcPr>
            <w:tcW w:w="43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8"/>
        </w:trPr>
        <w:tc>
          <w:tcPr>
            <w:tcW w:w="4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Net loss</w:t>
            </w:r>
          </w:p>
        </w:tc>
        <w:tc>
          <w:tcPr>
            <w:tcW w:w="56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(106,343)</w:t>
            </w:r>
          </w:p>
        </w:tc>
        <w:tc>
          <w:tcPr>
            <w:tcW w:w="6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(134,588)</w:t>
            </w: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(242,974)</w:t>
            </w:r>
          </w:p>
        </w:tc>
        <w:tc>
          <w:tcPr>
            <w:tcW w:w="4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(258,226)</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12,484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10,455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39,044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32,902</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Equity in net loss of equity-method investees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Stock-based compensation, net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1,138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2,973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4,192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9,422</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31,018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110,251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150,926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201,518</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Long-lived asset and intangibles impairment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15,047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24,012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26,964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42,029</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Loss (gain) on sale of assets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50,529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48,501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Other non-cash items, net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1,539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1,271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2,871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Increase (decrease) in cash attributable to changes in</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operating assets and liabilities: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37,230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17,641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27,589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(14,578)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59,556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(10,605)</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(6,643)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(39,769)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Other assets and liabilities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3"/>
        </w:trPr>
        <w:tc>
          <w:tcPr>
            <w:tcW w:w="4320" w:type="dxa"/>
            <w:vAlign w:val="bottom"/>
          </w:tcPr>
          <w:p>
            <w:pPr>
              <w:ind w:left="6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(21,747)</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6,468</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15,865</w:t>
            </w:r>
          </w:p>
        </w:tc>
        <w:tc>
          <w:tcPr>
            <w:tcW w:w="0" w:type="dxa"/>
            <w:vAlign w:val="bottom"/>
          </w:tcPr>
          <w:p>
            <w:pPr>
              <w:spacing w:after="0"/>
              <w:rPr>
                <w:sz w:val="1"/>
                <w:szCs w:val="1"/>
                <w:color w:val="auto"/>
              </w:rPr>
            </w:pPr>
          </w:p>
        </w:tc>
      </w:tr>
      <w:tr>
        <w:trPr>
          <w:trHeight w:val="183"/>
        </w:trPr>
        <w:tc>
          <w:tcPr>
            <w:tcW w:w="432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38,338</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4,645</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66,826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24,763</w:t>
            </w:r>
          </w:p>
        </w:tc>
        <w:tc>
          <w:tcPr>
            <w:tcW w:w="0" w:type="dxa"/>
            <w:vAlign w:val="bottom"/>
          </w:tcPr>
          <w:p>
            <w:pPr>
              <w:spacing w:after="0"/>
              <w:rPr>
                <w:sz w:val="1"/>
                <w:szCs w:val="1"/>
                <w:color w:val="auto"/>
              </w:rPr>
            </w:pPr>
          </w:p>
        </w:tc>
      </w:tr>
      <w:tr>
        <w:trPr>
          <w:trHeight w:val="168"/>
        </w:trPr>
        <w:tc>
          <w:tcPr>
            <w:tcW w:w="4320" w:type="dxa"/>
            <w:vAlign w:val="bottom"/>
          </w:tcPr>
          <w:p>
            <w:pPr>
              <w:spacing w:after="0" w:line="168" w:lineRule="exact"/>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(16,004)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(19,060)</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Proceeds from sale of assets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100,988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102,770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13,773</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Investments and joint ventures, net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203"/>
        </w:trPr>
        <w:tc>
          <w:tcPr>
            <w:tcW w:w="4320" w:type="dxa"/>
            <w:vAlign w:val="bottom"/>
          </w:tcPr>
          <w:p>
            <w:pPr>
              <w:ind w:left="60"/>
              <w:spacing w:after="0"/>
              <w:rPr>
                <w:sz w:val="20"/>
                <w:szCs w:val="20"/>
                <w:color w:val="auto"/>
              </w:rPr>
            </w:pPr>
            <w:r>
              <w:rPr>
                <w:rFonts w:ascii="Arial" w:cs="Arial" w:eastAsia="Arial" w:hAnsi="Arial"/>
                <w:sz w:val="16"/>
                <w:szCs w:val="16"/>
                <w:color w:val="auto"/>
              </w:rPr>
              <w:t>Proceeds from termination of net investment hedges</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3"/>
        </w:trPr>
        <w:tc>
          <w:tcPr>
            <w:tcW w:w="432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97,199</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(4,552)</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86,766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68"/>
        </w:trPr>
        <w:tc>
          <w:tcPr>
            <w:tcW w:w="4320" w:type="dxa"/>
            <w:vAlign w:val="bottom"/>
          </w:tcPr>
          <w:p>
            <w:pPr>
              <w:spacing w:after="0" w:line="168" w:lineRule="exact"/>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Borrowings under bank revolving credit facility</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43,000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47,000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156,000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156,000</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Repayments under bank revolving credit facility</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(96,000)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(205,500)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(186,000)</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Repayments under term loan</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(102,975)</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(106,725)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(Payments) borrowings of other debt, net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Employee shares withheld for taxes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03"/>
        </w:trPr>
        <w:tc>
          <w:tcPr>
            <w:tcW w:w="4320" w:type="dxa"/>
            <w:vAlign w:val="bottom"/>
          </w:tcPr>
          <w:p>
            <w:pPr>
              <w:ind w:left="60"/>
              <w:spacing w:after="0"/>
              <w:rPr>
                <w:sz w:val="20"/>
                <w:szCs w:val="20"/>
                <w:color w:val="auto"/>
              </w:rPr>
            </w:pPr>
            <w:r>
              <w:rPr>
                <w:rFonts w:ascii="Arial" w:cs="Arial" w:eastAsia="Arial" w:hAnsi="Arial"/>
                <w:sz w:val="16"/>
                <w:szCs w:val="16"/>
                <w:color w:val="auto"/>
              </w:rPr>
              <w:t>Proceeds from termination of fair value hedge</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83"/>
        </w:trPr>
        <w:tc>
          <w:tcPr>
            <w:tcW w:w="4320" w:type="dxa"/>
            <w:vAlign w:val="bottom"/>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(156,008)</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(19,425)</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(159,210)</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(36,475)</w:t>
            </w:r>
          </w:p>
        </w:tc>
        <w:tc>
          <w:tcPr>
            <w:tcW w:w="0" w:type="dxa"/>
            <w:vAlign w:val="bottom"/>
          </w:tcPr>
          <w:p>
            <w:pPr>
              <w:spacing w:after="0"/>
              <w:rPr>
                <w:sz w:val="1"/>
                <w:szCs w:val="1"/>
                <w:color w:val="auto"/>
              </w:rPr>
            </w:pPr>
          </w:p>
        </w:tc>
      </w:tr>
      <w:tr>
        <w:trPr>
          <w:trHeight w:val="183"/>
        </w:trPr>
        <w:tc>
          <w:tcPr>
            <w:tcW w:w="4320" w:type="dxa"/>
            <w:vAlign w:val="bottom"/>
          </w:tcPr>
          <w:p>
            <w:pPr>
              <w:ind w:left="60"/>
              <w:spacing w:after="0" w:line="183" w:lineRule="exact"/>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(3,235)</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7,557</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(4,426)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168"/>
        </w:trPr>
        <w:tc>
          <w:tcPr>
            <w:tcW w:w="4320" w:type="dxa"/>
            <w:vAlign w:val="bottom"/>
          </w:tcPr>
          <w:p>
            <w:pPr>
              <w:ind w:left="60"/>
              <w:spacing w:after="0" w:line="168" w:lineRule="exact"/>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Arial" w:cs="Arial" w:eastAsia="Arial" w:hAnsi="Arial"/>
                <w:sz w:val="16"/>
                <w:szCs w:val="16"/>
                <w:color w:val="auto"/>
              </w:rPr>
              <w:t>(23,706)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Arial" w:cs="Arial" w:eastAsia="Arial" w:hAnsi="Arial"/>
                <w:sz w:val="16"/>
                <w:szCs w:val="16"/>
                <w:color w:val="auto"/>
              </w:rPr>
              <w:t>(11,775)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Arial" w:cs="Arial" w:eastAsia="Arial" w:hAnsi="Arial"/>
                <w:sz w:val="16"/>
                <w:szCs w:val="16"/>
                <w:color w:val="auto"/>
              </w:rPr>
              <w:t>(10,044)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Arial" w:cs="Arial" w:eastAsia="Arial" w:hAnsi="Arial"/>
                <w:sz w:val="16"/>
                <w:szCs w:val="16"/>
                <w:color w:val="auto"/>
              </w:rPr>
              <w:t>(9,882)</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68,017</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56,200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54,355</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54,307</w:t>
            </w:r>
          </w:p>
        </w:tc>
        <w:tc>
          <w:tcPr>
            <w:tcW w:w="0" w:type="dxa"/>
            <w:vAlign w:val="bottom"/>
          </w:tcPr>
          <w:p>
            <w:pPr>
              <w:spacing w:after="0"/>
              <w:rPr>
                <w:sz w:val="1"/>
                <w:szCs w:val="1"/>
                <w:color w:val="auto"/>
              </w:rPr>
            </w:pPr>
          </w:p>
        </w:tc>
      </w:tr>
      <w:tr>
        <w:trPr>
          <w:trHeight w:val="183"/>
        </w:trPr>
        <w:tc>
          <w:tcPr>
            <w:tcW w:w="4320" w:type="dxa"/>
            <w:vAlign w:val="bottom"/>
          </w:tcPr>
          <w:p>
            <w:pPr>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44,311</w:t>
            </w: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44,425</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44,311</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44,425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5"/>
        </w:trPr>
        <w:tc>
          <w:tcPr>
            <w:tcW w:w="4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jc w:val="center"/>
        <w:ind w:right="24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Net Sales, Gross Profit and Adjusted EBITDA by Segment</w:t>
      </w:r>
    </w:p>
    <w:p>
      <w:pPr>
        <w:jc w:val="center"/>
        <w:ind w:right="24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20" w:type="dxa"/>
            <w:vAlign w:val="bottom"/>
            <w:vMerge w:val="restart"/>
          </w:tcPr>
          <w:p>
            <w:pPr>
              <w:spacing w:after="0"/>
              <w:rPr>
                <w:sz w:val="20"/>
                <w:szCs w:val="20"/>
                <w:color w:val="auto"/>
              </w:rPr>
            </w:pPr>
            <w:r>
              <w:rPr>
                <w:rFonts w:ascii="Arial" w:cs="Arial" w:eastAsia="Arial" w:hAnsi="Arial"/>
                <w:sz w:val="17"/>
                <w:szCs w:val="17"/>
                <w:b w:val="1"/>
                <w:bCs w:val="1"/>
                <w:color w:val="auto"/>
              </w:rPr>
              <w:t>Net Sales</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North America</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International</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Corporate/Other</w:t>
            </w:r>
          </w:p>
        </w:tc>
        <w:tc>
          <w:tcPr>
            <w:tcW w:w="140" w:type="dxa"/>
            <w:vAlign w:val="bottom"/>
          </w:tcPr>
          <w:p>
            <w:pPr>
              <w:spacing w:after="0"/>
              <w:rPr>
                <w:sz w:val="18"/>
                <w:szCs w:val="18"/>
                <w:color w:val="auto"/>
              </w:rPr>
            </w:pPr>
          </w:p>
        </w:tc>
        <w:tc>
          <w:tcPr>
            <w:tcW w:w="184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Hain Consolidated</w:t>
            </w:r>
          </w:p>
        </w:tc>
        <w:tc>
          <w:tcPr>
            <w:tcW w:w="0" w:type="dxa"/>
            <w:vAlign w:val="bottom"/>
          </w:tcPr>
          <w:p>
            <w:pPr>
              <w:spacing w:after="0"/>
              <w:rPr>
                <w:sz w:val="1"/>
                <w:szCs w:val="1"/>
                <w:color w:val="auto"/>
              </w:rPr>
            </w:pPr>
          </w:p>
        </w:tc>
      </w:tr>
      <w:tr>
        <w:trPr>
          <w:trHeight w:val="174"/>
        </w:trPr>
        <w:tc>
          <w:tcPr>
            <w:tcW w:w="352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vMerge w:val="restart"/>
          </w:tcPr>
          <w:p>
            <w:pPr>
              <w:jc w:val="right"/>
              <w:ind w:right="155"/>
              <w:spacing w:after="0"/>
              <w:rPr>
                <w:sz w:val="20"/>
                <w:szCs w:val="20"/>
                <w:color w:val="auto"/>
              </w:rPr>
            </w:pPr>
            <w:r>
              <w:rPr>
                <w:rFonts w:ascii="Arial" w:cs="Arial" w:eastAsia="Arial" w:hAnsi="Arial"/>
                <w:sz w:val="17"/>
                <w:szCs w:val="17"/>
                <w:color w:val="auto"/>
              </w:rPr>
              <w:t>171,495</w:t>
            </w:r>
          </w:p>
        </w:tc>
        <w:tc>
          <w:tcPr>
            <w:tcW w:w="3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640" w:type="dxa"/>
            <w:vAlign w:val="bottom"/>
            <w:vMerge w:val="restart"/>
          </w:tcPr>
          <w:p>
            <w:pPr>
              <w:jc w:val="right"/>
              <w:ind w:right="155"/>
              <w:spacing w:after="0"/>
              <w:rPr>
                <w:sz w:val="20"/>
                <w:szCs w:val="20"/>
                <w:color w:val="auto"/>
              </w:rPr>
            </w:pPr>
            <w:r>
              <w:rPr>
                <w:rFonts w:ascii="Arial" w:cs="Arial" w:eastAsia="Arial" w:hAnsi="Arial"/>
                <w:sz w:val="17"/>
                <w:szCs w:val="17"/>
                <w:color w:val="auto"/>
              </w:rPr>
              <w:t>166,862</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72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tcPr>
          <w:p>
            <w:pPr>
              <w:jc w:val="right"/>
              <w:ind w:right="355"/>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ind w:right="155"/>
              <w:spacing w:after="0"/>
              <w:rPr>
                <w:sz w:val="20"/>
                <w:szCs w:val="20"/>
                <w:color w:val="auto"/>
              </w:rPr>
            </w:pPr>
            <w:r>
              <w:rPr>
                <w:rFonts w:ascii="Arial" w:cs="Arial" w:eastAsia="Arial" w:hAnsi="Arial"/>
                <w:sz w:val="17"/>
                <w:szCs w:val="17"/>
                <w:color w:val="auto"/>
              </w:rPr>
              <w:t>338,357</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20"/>
                <w:szCs w:val="20"/>
                <w:color w:val="auto"/>
              </w:rPr>
            </w:pPr>
            <w:r>
              <w:rPr>
                <w:rFonts w:ascii="Arial" w:cs="Arial" w:eastAsia="Arial" w:hAnsi="Arial"/>
                <w:sz w:val="17"/>
                <w:szCs w:val="17"/>
                <w:color w:val="auto"/>
              </w:rPr>
              <w:t>Net sales - Q3 FY26</w:t>
            </w:r>
          </w:p>
        </w:tc>
        <w:tc>
          <w:tcPr>
            <w:tcW w:w="14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line="183" w:lineRule="exact"/>
              <w:rPr>
                <w:sz w:val="20"/>
                <w:szCs w:val="20"/>
                <w:color w:val="auto"/>
              </w:rPr>
            </w:pPr>
            <w:r>
              <w:rPr>
                <w:rFonts w:ascii="Arial" w:cs="Arial" w:eastAsia="Arial" w:hAnsi="Arial"/>
                <w:sz w:val="17"/>
                <w:szCs w:val="17"/>
                <w:color w:val="auto"/>
              </w:rPr>
              <w:t>Net sales - Q3 FY25</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222,407</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167,944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390,351</w:t>
            </w:r>
          </w:p>
        </w:tc>
        <w:tc>
          <w:tcPr>
            <w:tcW w:w="0" w:type="dxa"/>
            <w:vAlign w:val="bottom"/>
          </w:tcPr>
          <w:p>
            <w:pPr>
              <w:spacing w:after="0"/>
              <w:rPr>
                <w:sz w:val="1"/>
                <w:szCs w:val="1"/>
                <w:color w:val="auto"/>
              </w:rPr>
            </w:pPr>
          </w:p>
        </w:tc>
      </w:tr>
      <w:tr>
        <w:trPr>
          <w:trHeight w:val="160"/>
        </w:trPr>
        <w:tc>
          <w:tcPr>
            <w:tcW w:w="3520" w:type="dxa"/>
            <w:vAlign w:val="bottom"/>
          </w:tcPr>
          <w:p>
            <w:pPr>
              <w:spacing w:after="0" w:line="160" w:lineRule="exact"/>
              <w:rPr>
                <w:sz w:val="20"/>
                <w:szCs w:val="20"/>
                <w:color w:val="auto"/>
              </w:rPr>
            </w:pPr>
            <w:r>
              <w:rPr>
                <w:rFonts w:ascii="Arial" w:cs="Arial" w:eastAsia="Arial" w:hAnsi="Arial"/>
                <w:sz w:val="17"/>
                <w:szCs w:val="17"/>
                <w:color w:val="auto"/>
              </w:rPr>
              <w:t>% change - FY26 net sales vs. FY25 net</w:t>
            </w: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20"/>
                <w:szCs w:val="20"/>
                <w:color w:val="auto"/>
              </w:rPr>
            </w:pPr>
            <w:r>
              <w:rPr>
                <w:rFonts w:ascii="Arial" w:cs="Arial" w:eastAsia="Arial" w:hAnsi="Arial"/>
                <w:sz w:val="17"/>
                <w:szCs w:val="17"/>
                <w:color w:val="auto"/>
              </w:rPr>
              <w:t>sales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342"/>
        </w:trPr>
        <w:tc>
          <w:tcPr>
            <w:tcW w:w="3520" w:type="dxa"/>
            <w:vAlign w:val="bottom"/>
          </w:tcPr>
          <w:p>
            <w:pPr>
              <w:spacing w:after="0"/>
              <w:rPr>
                <w:sz w:val="20"/>
                <w:szCs w:val="20"/>
                <w:color w:val="auto"/>
              </w:rPr>
            </w:pPr>
            <w:r>
              <w:rPr>
                <w:rFonts w:ascii="Arial" w:cs="Arial" w:eastAsia="Arial" w:hAnsi="Arial"/>
                <w:sz w:val="17"/>
                <w:szCs w:val="17"/>
                <w:b w:val="1"/>
                <w:bCs w:val="1"/>
                <w:color w:val="auto"/>
              </w:rPr>
              <w:t>Gross Profit</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Q3 FY26</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line="179" w:lineRule="exact"/>
              <w:rPr>
                <w:sz w:val="20"/>
                <w:szCs w:val="20"/>
                <w:color w:val="auto"/>
              </w:rPr>
            </w:pPr>
            <w:r>
              <w:rPr>
                <w:rFonts w:ascii="Arial" w:cs="Arial" w:eastAsia="Arial" w:hAnsi="Arial"/>
                <w:sz w:val="17"/>
                <w:szCs w:val="17"/>
                <w:color w:val="auto"/>
              </w:rPr>
              <w:t>Gross profit</w:t>
            </w:r>
          </w:p>
        </w:tc>
        <w:tc>
          <w:tcPr>
            <w:tcW w:w="140" w:type="dxa"/>
            <w:vAlign w:val="bottom"/>
          </w:tcPr>
          <w:p>
            <w:pPr>
              <w:jc w:val="right"/>
              <w:spacing w:after="0" w:line="17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39,571</w:t>
            </w:r>
          </w:p>
        </w:tc>
        <w:tc>
          <w:tcPr>
            <w:tcW w:w="32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64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30,821</w:t>
            </w:r>
          </w:p>
        </w:tc>
        <w:tc>
          <w:tcPr>
            <w:tcW w:w="24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72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355"/>
              <w:spacing w:after="0" w:line="179"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70,392</w:t>
            </w:r>
          </w:p>
        </w:tc>
        <w:tc>
          <w:tcPr>
            <w:tcW w:w="0" w:type="dxa"/>
            <w:vAlign w:val="bottom"/>
          </w:tcPr>
          <w:p>
            <w:pPr>
              <w:spacing w:after="0"/>
              <w:rPr>
                <w:sz w:val="1"/>
                <w:szCs w:val="1"/>
                <w:color w:val="auto"/>
              </w:rPr>
            </w:pPr>
          </w:p>
        </w:tc>
      </w:tr>
      <w:tr>
        <w:trPr>
          <w:trHeight w:val="222"/>
        </w:trPr>
        <w:tc>
          <w:tcPr>
            <w:tcW w:w="3520" w:type="dxa"/>
            <w:vAlign w:val="bottom"/>
          </w:tcPr>
          <w:p>
            <w:pPr>
              <w:ind w:left="60"/>
              <w:spacing w:after="0" w:line="222" w:lineRule="exact"/>
              <w:rPr>
                <w:sz w:val="20"/>
                <w:szCs w:val="20"/>
                <w:color w:val="auto"/>
              </w:rPr>
            </w:pPr>
            <w:r>
              <w:rPr>
                <w:rFonts w:ascii="Arial" w:cs="Arial" w:eastAsia="Arial" w:hAnsi="Arial"/>
                <w:sz w:val="17"/>
                <w:szCs w:val="17"/>
                <w:color w:val="auto"/>
              </w:rPr>
              <w:t>Non-GAAP adjustments</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594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183"/>
        </w:trPr>
        <w:tc>
          <w:tcPr>
            <w:tcW w:w="3520" w:type="dxa"/>
            <w:vAlign w:val="bottom"/>
          </w:tcPr>
          <w:p>
            <w:pPr>
              <w:spacing w:after="0" w:line="183" w:lineRule="exact"/>
              <w:rPr>
                <w:sz w:val="20"/>
                <w:szCs w:val="20"/>
                <w:color w:val="auto"/>
              </w:rPr>
            </w:pPr>
            <w:r>
              <w:rPr>
                <w:rFonts w:ascii="Arial" w:cs="Arial" w:eastAsia="Arial" w:hAnsi="Arial"/>
                <w:sz w:val="17"/>
                <w:szCs w:val="17"/>
                <w:color w:val="auto"/>
              </w:rPr>
              <w:t>Adjusted gross profit</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40,165</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30,821</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70,986</w:t>
            </w:r>
          </w:p>
        </w:tc>
        <w:tc>
          <w:tcPr>
            <w:tcW w:w="0" w:type="dxa"/>
            <w:vAlign w:val="bottom"/>
          </w:tcPr>
          <w:p>
            <w:pPr>
              <w:spacing w:after="0"/>
              <w:rPr>
                <w:sz w:val="1"/>
                <w:szCs w:val="1"/>
                <w:color w:val="auto"/>
              </w:rPr>
            </w:pPr>
          </w:p>
        </w:tc>
      </w:tr>
      <w:tr>
        <w:trPr>
          <w:trHeight w:val="160"/>
        </w:trPr>
        <w:tc>
          <w:tcPr>
            <w:tcW w:w="3520" w:type="dxa"/>
            <w:vAlign w:val="bottom"/>
          </w:tcPr>
          <w:p>
            <w:pPr>
              <w:spacing w:after="0" w:line="160" w:lineRule="exact"/>
              <w:rPr>
                <w:sz w:val="20"/>
                <w:szCs w:val="20"/>
                <w:color w:val="auto"/>
              </w:rPr>
            </w:pPr>
            <w:r>
              <w:rPr>
                <w:rFonts w:ascii="Arial" w:cs="Arial" w:eastAsia="Arial" w:hAnsi="Arial"/>
                <w:sz w:val="17"/>
                <w:szCs w:val="17"/>
                <w:color w:val="auto"/>
              </w:rPr>
              <w:t>% change - FY26 gross profit vs. FY25 gross</w:t>
            </w: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profit</w:t>
            </w: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(19.5)%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7"/>
                <w:szCs w:val="17"/>
                <w:color w:val="auto"/>
              </w:rPr>
              <w:t>(13.1)%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 change - FY26 adjusted gross profit vs.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FY25 adjusted gross profit</w:t>
            </w: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(19.3)%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7"/>
                <w:szCs w:val="17"/>
                <w:color w:val="auto"/>
              </w:rPr>
              <w:t>(13.1)%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Gross margin</w:t>
            </w: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23.1%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7"/>
                <w:szCs w:val="17"/>
                <w:color w:val="auto"/>
              </w:rPr>
              <w:t>18.5%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25"/>
        </w:trPr>
        <w:tc>
          <w:tcPr>
            <w:tcW w:w="3520" w:type="dxa"/>
            <w:vAlign w:val="bottom"/>
          </w:tcPr>
          <w:p>
            <w:pPr>
              <w:spacing w:after="0"/>
              <w:rPr>
                <w:sz w:val="20"/>
                <w:szCs w:val="20"/>
                <w:color w:val="auto"/>
              </w:rPr>
            </w:pPr>
            <w:r>
              <w:rPr>
                <w:rFonts w:ascii="Arial" w:cs="Arial" w:eastAsia="Arial" w:hAnsi="Arial"/>
                <w:sz w:val="17"/>
                <w:szCs w:val="17"/>
                <w:color w:val="auto"/>
              </w:rPr>
              <w:t>Adjusted gross margin</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342"/>
        </w:trPr>
        <w:tc>
          <w:tcPr>
            <w:tcW w:w="3520" w:type="dxa"/>
            <w:vAlign w:val="bottom"/>
          </w:tcPr>
          <w:p>
            <w:pPr>
              <w:spacing w:after="0"/>
              <w:rPr>
                <w:sz w:val="20"/>
                <w:szCs w:val="20"/>
                <w:color w:val="auto"/>
              </w:rPr>
            </w:pPr>
            <w:r>
              <w:rPr>
                <w:rFonts w:ascii="Arial" w:cs="Arial" w:eastAsia="Arial" w:hAnsi="Arial"/>
                <w:sz w:val="17"/>
                <w:szCs w:val="17"/>
                <w:color w:val="auto"/>
              </w:rPr>
              <w:t>Q3 FY25</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line="179" w:lineRule="exact"/>
              <w:rPr>
                <w:sz w:val="20"/>
                <w:szCs w:val="20"/>
                <w:color w:val="auto"/>
              </w:rPr>
            </w:pPr>
            <w:r>
              <w:rPr>
                <w:rFonts w:ascii="Arial" w:cs="Arial" w:eastAsia="Arial" w:hAnsi="Arial"/>
                <w:sz w:val="17"/>
                <w:szCs w:val="17"/>
                <w:color w:val="auto"/>
              </w:rPr>
              <w:t>Gross profit</w:t>
            </w:r>
          </w:p>
        </w:tc>
        <w:tc>
          <w:tcPr>
            <w:tcW w:w="140" w:type="dxa"/>
            <w:vAlign w:val="bottom"/>
          </w:tcPr>
          <w:p>
            <w:pPr>
              <w:jc w:val="right"/>
              <w:spacing w:after="0" w:line="17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49,178</w:t>
            </w:r>
          </w:p>
        </w:tc>
        <w:tc>
          <w:tcPr>
            <w:tcW w:w="32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64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35,472</w:t>
            </w:r>
          </w:p>
        </w:tc>
        <w:tc>
          <w:tcPr>
            <w:tcW w:w="24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72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355"/>
              <w:spacing w:after="0" w:line="179"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84,650</w:t>
            </w:r>
          </w:p>
        </w:tc>
        <w:tc>
          <w:tcPr>
            <w:tcW w:w="0" w:type="dxa"/>
            <w:vAlign w:val="bottom"/>
          </w:tcPr>
          <w:p>
            <w:pPr>
              <w:spacing w:after="0"/>
              <w:rPr>
                <w:sz w:val="1"/>
                <w:szCs w:val="1"/>
                <w:color w:val="auto"/>
              </w:rPr>
            </w:pPr>
          </w:p>
        </w:tc>
      </w:tr>
      <w:tr>
        <w:trPr>
          <w:trHeight w:val="222"/>
        </w:trPr>
        <w:tc>
          <w:tcPr>
            <w:tcW w:w="3520" w:type="dxa"/>
            <w:vAlign w:val="bottom"/>
          </w:tcPr>
          <w:p>
            <w:pPr>
              <w:ind w:left="60"/>
              <w:spacing w:after="0" w:line="222" w:lineRule="exact"/>
              <w:rPr>
                <w:sz w:val="20"/>
                <w:szCs w:val="20"/>
                <w:color w:val="auto"/>
              </w:rPr>
            </w:pPr>
            <w:r>
              <w:rPr>
                <w:rFonts w:ascii="Arial" w:cs="Arial" w:eastAsia="Arial" w:hAnsi="Arial"/>
                <w:sz w:val="17"/>
                <w:szCs w:val="17"/>
                <w:color w:val="auto"/>
              </w:rPr>
              <w:t>Non-GAAP adjustments</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592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183"/>
        </w:trPr>
        <w:tc>
          <w:tcPr>
            <w:tcW w:w="3520" w:type="dxa"/>
            <w:vAlign w:val="bottom"/>
          </w:tcPr>
          <w:p>
            <w:pPr>
              <w:spacing w:after="0" w:line="183" w:lineRule="exact"/>
              <w:rPr>
                <w:sz w:val="20"/>
                <w:szCs w:val="20"/>
                <w:color w:val="auto"/>
              </w:rPr>
            </w:pPr>
            <w:r>
              <w:rPr>
                <w:rFonts w:ascii="Arial" w:cs="Arial" w:eastAsia="Arial" w:hAnsi="Arial"/>
                <w:sz w:val="17"/>
                <w:szCs w:val="17"/>
                <w:color w:val="auto"/>
              </w:rPr>
              <w:t>Adjusted gross profit</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49,770</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35,472</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85,242</w:t>
            </w:r>
          </w:p>
        </w:tc>
        <w:tc>
          <w:tcPr>
            <w:tcW w:w="0" w:type="dxa"/>
            <w:vAlign w:val="bottom"/>
          </w:tcPr>
          <w:p>
            <w:pPr>
              <w:spacing w:after="0"/>
              <w:rPr>
                <w:sz w:val="1"/>
                <w:szCs w:val="1"/>
                <w:color w:val="auto"/>
              </w:rPr>
            </w:pPr>
          </w:p>
        </w:tc>
      </w:tr>
      <w:tr>
        <w:trPr>
          <w:trHeight w:val="160"/>
        </w:trPr>
        <w:tc>
          <w:tcPr>
            <w:tcW w:w="3520" w:type="dxa"/>
            <w:vAlign w:val="bottom"/>
          </w:tcPr>
          <w:p>
            <w:pPr>
              <w:spacing w:after="0" w:line="160" w:lineRule="exact"/>
              <w:rPr>
                <w:sz w:val="20"/>
                <w:szCs w:val="20"/>
                <w:color w:val="auto"/>
              </w:rPr>
            </w:pPr>
            <w:r>
              <w:rPr>
                <w:rFonts w:ascii="Arial" w:cs="Arial" w:eastAsia="Arial" w:hAnsi="Arial"/>
                <w:sz w:val="17"/>
                <w:szCs w:val="17"/>
                <w:color w:val="auto"/>
              </w:rPr>
              <w:t>Gross margin</w:t>
            </w:r>
          </w:p>
        </w:tc>
        <w:tc>
          <w:tcPr>
            <w:tcW w:w="140" w:type="dxa"/>
            <w:vAlign w:val="bottom"/>
          </w:tcPr>
          <w:p>
            <w:pPr>
              <w:spacing w:after="0"/>
              <w:rPr>
                <w:sz w:val="13"/>
                <w:szCs w:val="13"/>
                <w:color w:val="auto"/>
              </w:rPr>
            </w:pPr>
          </w:p>
        </w:tc>
        <w:tc>
          <w:tcPr>
            <w:tcW w:w="1680" w:type="dxa"/>
            <w:vAlign w:val="bottom"/>
          </w:tcPr>
          <w:p>
            <w:pPr>
              <w:jc w:val="right"/>
              <w:spacing w:after="0" w:line="160" w:lineRule="exact"/>
              <w:rPr>
                <w:sz w:val="20"/>
                <w:szCs w:val="20"/>
                <w:color w:val="auto"/>
              </w:rPr>
            </w:pPr>
            <w:r>
              <w:rPr>
                <w:rFonts w:ascii="Arial" w:cs="Arial" w:eastAsia="Arial" w:hAnsi="Arial"/>
                <w:sz w:val="17"/>
                <w:szCs w:val="17"/>
                <w:color w:val="auto"/>
              </w:rPr>
              <w:t>22.1%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spacing w:after="0" w:line="160" w:lineRule="exact"/>
              <w:rPr>
                <w:sz w:val="20"/>
                <w:szCs w:val="20"/>
                <w:color w:val="auto"/>
              </w:rPr>
            </w:pPr>
            <w:r>
              <w:rPr>
                <w:rFonts w:ascii="Arial" w:cs="Arial" w:eastAsia="Arial" w:hAnsi="Arial"/>
                <w:sz w:val="17"/>
                <w:szCs w:val="17"/>
                <w:color w:val="auto"/>
              </w:rPr>
              <w:t>21.1%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5"/>
        </w:trPr>
        <w:tc>
          <w:tcPr>
            <w:tcW w:w="3520" w:type="dxa"/>
            <w:vAlign w:val="bottom"/>
          </w:tcPr>
          <w:p>
            <w:pPr>
              <w:spacing w:after="0"/>
              <w:rPr>
                <w:sz w:val="20"/>
                <w:szCs w:val="20"/>
                <w:color w:val="auto"/>
              </w:rPr>
            </w:pPr>
            <w:r>
              <w:rPr>
                <w:rFonts w:ascii="Arial" w:cs="Arial" w:eastAsia="Arial" w:hAnsi="Arial"/>
                <w:sz w:val="17"/>
                <w:szCs w:val="17"/>
                <w:color w:val="auto"/>
              </w:rPr>
              <w:t>Adjusted gross margin</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342"/>
        </w:trPr>
        <w:tc>
          <w:tcPr>
            <w:tcW w:w="3520" w:type="dxa"/>
            <w:vAlign w:val="bottom"/>
          </w:tcPr>
          <w:p>
            <w:pPr>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Q3 FY26</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Adjusted EBITDA</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17,171</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6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19,580</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(10,499)</w:t>
            </w:r>
          </w:p>
        </w:tc>
        <w:tc>
          <w:tcPr>
            <w:tcW w:w="680" w:type="dxa"/>
            <w:vAlign w:val="bottom"/>
            <w:gridSpan w:val="2"/>
          </w:tcPr>
          <w:p>
            <w:pPr>
              <w:jc w:val="right"/>
              <w:ind w:right="355"/>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26,252</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 change - FY26 Adjusted EBITDA vs. FY25</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Adjusted EBITDA</w:t>
            </w: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(0.8)%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7"/>
                <w:szCs w:val="17"/>
                <w:color w:val="auto"/>
              </w:rPr>
              <w:t>(79.3)%</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25"/>
        </w:trPr>
        <w:tc>
          <w:tcPr>
            <w:tcW w:w="3520" w:type="dxa"/>
            <w:vAlign w:val="bottom"/>
          </w:tcPr>
          <w:p>
            <w:pPr>
              <w:spacing w:after="0"/>
              <w:rPr>
                <w:sz w:val="20"/>
                <w:szCs w:val="20"/>
                <w:color w:val="auto"/>
              </w:rPr>
            </w:pPr>
            <w:r>
              <w:rPr>
                <w:rFonts w:ascii="Arial" w:cs="Arial" w:eastAsia="Arial" w:hAnsi="Arial"/>
                <w:sz w:val="17"/>
                <w:szCs w:val="17"/>
                <w:color w:val="auto"/>
              </w:rPr>
              <w:t>Adjusted EBITDA margin</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342"/>
        </w:trPr>
        <w:tc>
          <w:tcPr>
            <w:tcW w:w="3520" w:type="dxa"/>
            <w:vAlign w:val="bottom"/>
          </w:tcPr>
          <w:p>
            <w:pPr>
              <w:spacing w:after="0"/>
              <w:rPr>
                <w:sz w:val="20"/>
                <w:szCs w:val="20"/>
                <w:color w:val="auto"/>
              </w:rPr>
            </w:pPr>
            <w:r>
              <w:rPr>
                <w:rFonts w:ascii="Arial" w:cs="Arial" w:eastAsia="Arial" w:hAnsi="Arial"/>
                <w:sz w:val="17"/>
                <w:szCs w:val="17"/>
                <w:color w:val="auto"/>
              </w:rPr>
              <w:t>Q3 FY25</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Adjusted EBITDA</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17,306</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6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22,166</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(5,857)</w:t>
            </w:r>
          </w:p>
        </w:tc>
        <w:tc>
          <w:tcPr>
            <w:tcW w:w="680" w:type="dxa"/>
            <w:vAlign w:val="bottom"/>
            <w:gridSpan w:val="2"/>
          </w:tcPr>
          <w:p>
            <w:pPr>
              <w:jc w:val="right"/>
              <w:ind w:right="355"/>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33,615</w:t>
            </w:r>
          </w:p>
        </w:tc>
        <w:tc>
          <w:tcPr>
            <w:tcW w:w="0" w:type="dxa"/>
            <w:vAlign w:val="bottom"/>
          </w:tcPr>
          <w:p>
            <w:pPr>
              <w:spacing w:after="0"/>
              <w:rPr>
                <w:sz w:val="1"/>
                <w:szCs w:val="1"/>
                <w:color w:val="auto"/>
              </w:rPr>
            </w:pPr>
          </w:p>
        </w:tc>
      </w:tr>
      <w:tr>
        <w:trPr>
          <w:trHeight w:val="225"/>
        </w:trPr>
        <w:tc>
          <w:tcPr>
            <w:tcW w:w="3520" w:type="dxa"/>
            <w:vAlign w:val="bottom"/>
          </w:tcPr>
          <w:p>
            <w:pPr>
              <w:spacing w:after="0"/>
              <w:rPr>
                <w:sz w:val="20"/>
                <w:szCs w:val="20"/>
                <w:color w:val="auto"/>
              </w:rPr>
            </w:pPr>
            <w:r>
              <w:rPr>
                <w:rFonts w:ascii="Arial" w:cs="Arial" w:eastAsia="Arial" w:hAnsi="Arial"/>
                <w:sz w:val="17"/>
                <w:szCs w:val="17"/>
                <w:color w:val="auto"/>
              </w:rPr>
              <w:t>Adjusted EBITDA margin</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i w:val="1"/>
          <w:iCs w:val="1"/>
          <w:color w:val="auto"/>
          <w:vertAlign w:val="superscript"/>
        </w:rPr>
        <w:t>(1)</w:t>
      </w:r>
      <w:r>
        <w:rPr>
          <w:rFonts w:ascii="Arial" w:cs="Arial" w:eastAsia="Arial" w:hAnsi="Arial"/>
          <w:sz w:val="17"/>
          <w:szCs w:val="17"/>
          <w:i w:val="1"/>
          <w:iCs w:val="1"/>
          <w:color w:val="auto"/>
        </w:rPr>
        <w:t>See accompanying tables "Adjusted Gross Profit and Adjusted Operating Income" and "Adjusted Net (Loss) Income and Adjusted Net (Loss) Income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1487805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jc w:val="center"/>
        <w:ind w:right="24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Net Sales, Gross Profit and Adjusted EBITDA by Segment</w:t>
      </w:r>
    </w:p>
    <w:p>
      <w:pPr>
        <w:jc w:val="center"/>
        <w:ind w:right="24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vMerge w:val="restart"/>
          </w:tcPr>
          <w:p>
            <w:pPr>
              <w:spacing w:after="0"/>
              <w:rPr>
                <w:sz w:val="20"/>
                <w:szCs w:val="20"/>
                <w:color w:val="auto"/>
              </w:rPr>
            </w:pPr>
            <w:r>
              <w:rPr>
                <w:rFonts w:ascii="Arial" w:cs="Arial" w:eastAsia="Arial" w:hAnsi="Arial"/>
                <w:sz w:val="17"/>
                <w:szCs w:val="17"/>
                <w:b w:val="1"/>
                <w:bCs w:val="1"/>
                <w:color w:val="auto"/>
              </w:rPr>
              <w:t>Net Sales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North America</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International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Corporate/Other</w:t>
            </w:r>
          </w:p>
        </w:tc>
        <w:tc>
          <w:tcPr>
            <w:tcW w:w="140" w:type="dxa"/>
            <w:vAlign w:val="bottom"/>
          </w:tcPr>
          <w:p>
            <w:pPr>
              <w:spacing w:after="0"/>
              <w:rPr>
                <w:sz w:val="18"/>
                <w:szCs w:val="18"/>
                <w:color w:val="auto"/>
              </w:rPr>
            </w:pPr>
          </w:p>
        </w:tc>
        <w:tc>
          <w:tcPr>
            <w:tcW w:w="184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Hain Consolidated</w:t>
            </w:r>
          </w:p>
        </w:tc>
        <w:tc>
          <w:tcPr>
            <w:tcW w:w="0" w:type="dxa"/>
            <w:vAlign w:val="bottom"/>
          </w:tcPr>
          <w:p>
            <w:pPr>
              <w:spacing w:after="0"/>
              <w:rPr>
                <w:sz w:val="1"/>
                <w:szCs w:val="1"/>
                <w:color w:val="auto"/>
              </w:rPr>
            </w:pPr>
          </w:p>
        </w:tc>
      </w:tr>
      <w:tr>
        <w:trPr>
          <w:trHeight w:val="174"/>
        </w:trPr>
        <w:tc>
          <w:tcPr>
            <w:tcW w:w="354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vMerge w:val="restart"/>
          </w:tcPr>
          <w:p>
            <w:pPr>
              <w:jc w:val="right"/>
              <w:ind w:right="155"/>
              <w:spacing w:after="0"/>
              <w:rPr>
                <w:sz w:val="20"/>
                <w:szCs w:val="20"/>
                <w:color w:val="auto"/>
              </w:rPr>
            </w:pPr>
            <w:r>
              <w:rPr>
                <w:rFonts w:ascii="Arial" w:cs="Arial" w:eastAsia="Arial" w:hAnsi="Arial"/>
                <w:sz w:val="17"/>
                <w:szCs w:val="17"/>
                <w:color w:val="auto"/>
              </w:rPr>
              <w:t>573,236</w:t>
            </w:r>
          </w:p>
        </w:tc>
        <w:tc>
          <w:tcPr>
            <w:tcW w:w="3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660" w:type="dxa"/>
            <w:vAlign w:val="bottom"/>
            <w:vMerge w:val="restart"/>
          </w:tcPr>
          <w:p>
            <w:pPr>
              <w:jc w:val="right"/>
              <w:ind w:right="175"/>
              <w:spacing w:after="0"/>
              <w:rPr>
                <w:sz w:val="20"/>
                <w:szCs w:val="20"/>
                <w:color w:val="auto"/>
              </w:rPr>
            </w:pPr>
            <w:r>
              <w:rPr>
                <w:rFonts w:ascii="Arial" w:cs="Arial" w:eastAsia="Arial" w:hAnsi="Arial"/>
                <w:sz w:val="17"/>
                <w:szCs w:val="17"/>
                <w:color w:val="auto"/>
              </w:rPr>
              <w:t>517,124</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660" w:type="dxa"/>
            <w:vAlign w:val="bottom"/>
            <w:vMerge w:val="restart"/>
          </w:tcPr>
          <w:p>
            <w:pPr>
              <w:jc w:val="right"/>
              <w:ind w:right="95"/>
              <w:spacing w:after="0"/>
              <w:rPr>
                <w:sz w:val="20"/>
                <w:szCs w:val="20"/>
                <w:color w:val="auto"/>
              </w:rPr>
            </w:pPr>
            <w:r>
              <w:rPr>
                <w:rFonts w:ascii="Arial" w:cs="Arial" w:eastAsia="Arial" w:hAnsi="Arial"/>
                <w:sz w:val="17"/>
                <w:szCs w:val="17"/>
                <w:color w:val="auto"/>
              </w:rPr>
              <w:t>-</w:t>
            </w:r>
          </w:p>
        </w:tc>
        <w:tc>
          <w:tcPr>
            <w:tcW w:w="600" w:type="dxa"/>
            <w:vAlign w:val="bottom"/>
            <w:gridSpan w:val="2"/>
            <w:vMerge w:val="restart"/>
          </w:tcPr>
          <w:p>
            <w:pPr>
              <w:jc w:val="right"/>
              <w:ind w:right="275"/>
              <w:spacing w:after="0"/>
              <w:rPr>
                <w:sz w:val="20"/>
                <w:szCs w:val="20"/>
                <w:color w:val="auto"/>
              </w:rPr>
            </w:pPr>
            <w:r>
              <w:rPr>
                <w:rFonts w:ascii="Arial" w:cs="Arial" w:eastAsia="Arial" w:hAnsi="Arial"/>
                <w:sz w:val="17"/>
                <w:szCs w:val="17"/>
                <w:color w:val="auto"/>
              </w:rPr>
              <w:t>$</w:t>
            </w:r>
          </w:p>
        </w:tc>
        <w:tc>
          <w:tcPr>
            <w:tcW w:w="1380" w:type="dxa"/>
            <w:vAlign w:val="bottom"/>
            <w:vMerge w:val="restart"/>
          </w:tcPr>
          <w:p>
            <w:pPr>
              <w:jc w:val="right"/>
              <w:ind w:right="155"/>
              <w:spacing w:after="0"/>
              <w:rPr>
                <w:sz w:val="20"/>
                <w:szCs w:val="20"/>
                <w:color w:val="auto"/>
              </w:rPr>
            </w:pPr>
            <w:r>
              <w:rPr>
                <w:rFonts w:ascii="Arial" w:cs="Arial" w:eastAsia="Arial" w:hAnsi="Arial"/>
                <w:sz w:val="17"/>
                <w:szCs w:val="17"/>
                <w:color w:val="auto"/>
              </w:rPr>
              <w:t>1,090,360</w:t>
            </w:r>
          </w:p>
        </w:tc>
        <w:tc>
          <w:tcPr>
            <w:tcW w:w="0" w:type="dxa"/>
            <w:vAlign w:val="bottom"/>
          </w:tcPr>
          <w:p>
            <w:pPr>
              <w:spacing w:after="0"/>
              <w:rPr>
                <w:sz w:val="1"/>
                <w:szCs w:val="1"/>
                <w:color w:val="auto"/>
              </w:rPr>
            </w:pPr>
          </w:p>
        </w:tc>
      </w:tr>
      <w:tr>
        <w:trPr>
          <w:trHeight w:val="198"/>
        </w:trPr>
        <w:tc>
          <w:tcPr>
            <w:tcW w:w="3540" w:type="dxa"/>
            <w:vAlign w:val="bottom"/>
          </w:tcPr>
          <w:p>
            <w:pPr>
              <w:spacing w:after="0"/>
              <w:rPr>
                <w:sz w:val="20"/>
                <w:szCs w:val="20"/>
                <w:color w:val="auto"/>
              </w:rPr>
            </w:pPr>
            <w:r>
              <w:rPr>
                <w:rFonts w:ascii="Arial" w:cs="Arial" w:eastAsia="Arial" w:hAnsi="Arial"/>
                <w:sz w:val="17"/>
                <w:szCs w:val="17"/>
                <w:color w:val="auto"/>
              </w:rPr>
              <w:t>Net sales - Q3 FY26 YTD</w:t>
            </w:r>
          </w:p>
        </w:tc>
        <w:tc>
          <w:tcPr>
            <w:tcW w:w="16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line="183" w:lineRule="exact"/>
              <w:rPr>
                <w:sz w:val="20"/>
                <w:szCs w:val="20"/>
                <w:color w:val="auto"/>
              </w:rPr>
            </w:pPr>
            <w:r>
              <w:rPr>
                <w:rFonts w:ascii="Arial" w:cs="Arial" w:eastAsia="Arial" w:hAnsi="Arial"/>
                <w:sz w:val="17"/>
                <w:szCs w:val="17"/>
                <w:color w:val="auto"/>
              </w:rPr>
              <w:t>Net sales - Q3 FY25 YTD</w:t>
            </w: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682,836</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513,596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1,196,432</w:t>
            </w:r>
          </w:p>
        </w:tc>
        <w:tc>
          <w:tcPr>
            <w:tcW w:w="0" w:type="dxa"/>
            <w:vAlign w:val="bottom"/>
          </w:tcPr>
          <w:p>
            <w:pPr>
              <w:spacing w:after="0"/>
              <w:rPr>
                <w:sz w:val="1"/>
                <w:szCs w:val="1"/>
                <w:color w:val="auto"/>
              </w:rPr>
            </w:pPr>
          </w:p>
        </w:tc>
      </w:tr>
      <w:tr>
        <w:trPr>
          <w:trHeight w:val="218"/>
        </w:trPr>
        <w:tc>
          <w:tcPr>
            <w:tcW w:w="3540" w:type="dxa"/>
            <w:vAlign w:val="bottom"/>
          </w:tcPr>
          <w:p>
            <w:pPr>
              <w:spacing w:after="0"/>
              <w:rPr>
                <w:sz w:val="20"/>
                <w:szCs w:val="20"/>
                <w:color w:val="auto"/>
              </w:rPr>
            </w:pPr>
            <w:r>
              <w:rPr>
                <w:rFonts w:ascii="Arial" w:cs="Arial" w:eastAsia="Arial" w:hAnsi="Arial"/>
                <w:sz w:val="17"/>
                <w:szCs w:val="17"/>
                <w:color w:val="auto"/>
              </w:rPr>
              <w:t>% change - FY26 net sales vs. FY25 net sales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320"/>
        </w:trPr>
        <w:tc>
          <w:tcPr>
            <w:tcW w:w="3540" w:type="dxa"/>
            <w:vAlign w:val="bottom"/>
          </w:tcPr>
          <w:p>
            <w:pPr>
              <w:spacing w:after="0"/>
              <w:rPr>
                <w:sz w:val="20"/>
                <w:szCs w:val="20"/>
                <w:color w:val="auto"/>
              </w:rPr>
            </w:pPr>
            <w:r>
              <w:rPr>
                <w:rFonts w:ascii="Arial" w:cs="Arial" w:eastAsia="Arial" w:hAnsi="Arial"/>
                <w:sz w:val="17"/>
                <w:szCs w:val="17"/>
                <w:b w:val="1"/>
                <w:bCs w:val="1"/>
                <w:color w:val="auto"/>
              </w:rPr>
              <w:t>Gross Profit</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Q3 FY26 YTD</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40" w:type="dxa"/>
            <w:vAlign w:val="bottom"/>
          </w:tcPr>
          <w:p>
            <w:pPr>
              <w:spacing w:after="0" w:line="179" w:lineRule="exact"/>
              <w:rPr>
                <w:sz w:val="20"/>
                <w:szCs w:val="20"/>
                <w:color w:val="auto"/>
              </w:rPr>
            </w:pPr>
            <w:r>
              <w:rPr>
                <w:rFonts w:ascii="Arial" w:cs="Arial" w:eastAsia="Arial" w:hAnsi="Arial"/>
                <w:sz w:val="17"/>
                <w:szCs w:val="17"/>
                <w:color w:val="auto"/>
              </w:rPr>
              <w:t>Gross profit</w:t>
            </w:r>
          </w:p>
        </w:tc>
        <w:tc>
          <w:tcPr>
            <w:tcW w:w="160" w:type="dxa"/>
            <w:vAlign w:val="bottom"/>
          </w:tcPr>
          <w:p>
            <w:pPr>
              <w:jc w:val="right"/>
              <w:spacing w:after="0" w:line="17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122,734</w:t>
            </w:r>
          </w:p>
        </w:tc>
        <w:tc>
          <w:tcPr>
            <w:tcW w:w="32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175"/>
              <w:spacing w:after="0" w:line="179" w:lineRule="exact"/>
              <w:rPr>
                <w:sz w:val="20"/>
                <w:szCs w:val="20"/>
                <w:color w:val="auto"/>
              </w:rPr>
            </w:pPr>
            <w:r>
              <w:rPr>
                <w:rFonts w:ascii="Arial" w:cs="Arial" w:eastAsia="Arial" w:hAnsi="Arial"/>
                <w:sz w:val="17"/>
                <w:szCs w:val="17"/>
                <w:color w:val="auto"/>
              </w:rPr>
              <w:t>90,175</w:t>
            </w:r>
          </w:p>
        </w:tc>
        <w:tc>
          <w:tcPr>
            <w:tcW w:w="24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95"/>
              <w:spacing w:after="0" w:line="17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75"/>
              <w:spacing w:after="0" w:line="179"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212,909</w:t>
            </w:r>
          </w:p>
        </w:tc>
        <w:tc>
          <w:tcPr>
            <w:tcW w:w="0" w:type="dxa"/>
            <w:vAlign w:val="bottom"/>
          </w:tcPr>
          <w:p>
            <w:pPr>
              <w:spacing w:after="0"/>
              <w:rPr>
                <w:sz w:val="1"/>
                <w:szCs w:val="1"/>
                <w:color w:val="auto"/>
              </w:rPr>
            </w:pPr>
          </w:p>
        </w:tc>
      </w:tr>
      <w:tr>
        <w:trPr>
          <w:trHeight w:val="222"/>
        </w:trPr>
        <w:tc>
          <w:tcPr>
            <w:tcW w:w="3540" w:type="dxa"/>
            <w:vAlign w:val="bottom"/>
          </w:tcPr>
          <w:p>
            <w:pPr>
              <w:ind w:left="60"/>
              <w:spacing w:after="0" w:line="222" w:lineRule="exact"/>
              <w:rPr>
                <w:sz w:val="20"/>
                <w:szCs w:val="20"/>
                <w:color w:val="auto"/>
              </w:rPr>
            </w:pPr>
            <w:r>
              <w:rPr>
                <w:rFonts w:ascii="Arial" w:cs="Arial" w:eastAsia="Arial" w:hAnsi="Arial"/>
                <w:sz w:val="17"/>
                <w:szCs w:val="17"/>
                <w:color w:val="auto"/>
              </w:rPr>
              <w:t>Non-GAAP adjustments</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4,802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4,802</w:t>
            </w:r>
          </w:p>
        </w:tc>
        <w:tc>
          <w:tcPr>
            <w:tcW w:w="0" w:type="dxa"/>
            <w:vAlign w:val="bottom"/>
          </w:tcPr>
          <w:p>
            <w:pPr>
              <w:spacing w:after="0"/>
              <w:rPr>
                <w:sz w:val="1"/>
                <w:szCs w:val="1"/>
                <w:color w:val="auto"/>
              </w:rPr>
            </w:pPr>
          </w:p>
        </w:tc>
      </w:tr>
      <w:tr>
        <w:trPr>
          <w:trHeight w:val="183"/>
        </w:trPr>
        <w:tc>
          <w:tcPr>
            <w:tcW w:w="3540" w:type="dxa"/>
            <w:vAlign w:val="bottom"/>
          </w:tcPr>
          <w:p>
            <w:pPr>
              <w:spacing w:after="0" w:line="183" w:lineRule="exact"/>
              <w:rPr>
                <w:sz w:val="20"/>
                <w:szCs w:val="20"/>
                <w:color w:val="auto"/>
              </w:rPr>
            </w:pPr>
            <w:r>
              <w:rPr>
                <w:rFonts w:ascii="Arial" w:cs="Arial" w:eastAsia="Arial" w:hAnsi="Arial"/>
                <w:sz w:val="17"/>
                <w:szCs w:val="17"/>
                <w:color w:val="auto"/>
              </w:rPr>
              <w:t>Adjusted gross profit</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127,536</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90,175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4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217,711</w:t>
            </w:r>
          </w:p>
        </w:tc>
        <w:tc>
          <w:tcPr>
            <w:tcW w:w="0" w:type="dxa"/>
            <w:vAlign w:val="bottom"/>
          </w:tcPr>
          <w:p>
            <w:pPr>
              <w:spacing w:after="0"/>
              <w:rPr>
                <w:sz w:val="1"/>
                <w:szCs w:val="1"/>
                <w:color w:val="auto"/>
              </w:rPr>
            </w:pPr>
          </w:p>
        </w:tc>
      </w:tr>
      <w:tr>
        <w:trPr>
          <w:trHeight w:val="160"/>
        </w:trPr>
        <w:tc>
          <w:tcPr>
            <w:tcW w:w="3540" w:type="dxa"/>
            <w:vAlign w:val="bottom"/>
          </w:tcPr>
          <w:p>
            <w:pPr>
              <w:spacing w:after="0" w:line="160" w:lineRule="exact"/>
              <w:rPr>
                <w:sz w:val="20"/>
                <w:szCs w:val="20"/>
                <w:color w:val="auto"/>
              </w:rPr>
            </w:pPr>
            <w:r>
              <w:rPr>
                <w:rFonts w:ascii="Arial" w:cs="Arial" w:eastAsia="Arial" w:hAnsi="Arial"/>
                <w:sz w:val="17"/>
                <w:szCs w:val="17"/>
                <w:color w:val="auto"/>
              </w:rPr>
              <w:t>% change - FY26 gross profit vs. FY25 gross</w:t>
            </w: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profit</w:t>
            </w:r>
          </w:p>
        </w:tc>
        <w:tc>
          <w:tcPr>
            <w:tcW w:w="16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(20.0)%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7"/>
                <w:szCs w:val="17"/>
                <w:color w:val="auto"/>
              </w:rPr>
              <w:t>(15.2)%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 change - FY26 adjusted gross profit vs.</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FY25 adjusted gross profit</w:t>
            </w:r>
          </w:p>
        </w:tc>
        <w:tc>
          <w:tcPr>
            <w:tcW w:w="16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(17.8)%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7"/>
                <w:szCs w:val="17"/>
                <w:color w:val="auto"/>
              </w:rPr>
              <w:t>(15.2)%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7"/>
                <w:szCs w:val="17"/>
                <w:color w:val="auto"/>
              </w:rPr>
              <w:t>17.4%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Adjusted gross margin</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0"/>
                <w:szCs w:val="20"/>
                <w:color w:val="auto"/>
              </w:rPr>
            </w:pPr>
            <w:r>
              <w:rPr>
                <w:rFonts w:ascii="Arial" w:cs="Arial" w:eastAsia="Arial" w:hAnsi="Arial"/>
                <w:sz w:val="17"/>
                <w:szCs w:val="17"/>
                <w:color w:val="auto"/>
              </w:rPr>
              <w:t>Q3 FY25 YTD</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540" w:type="dxa"/>
            <w:vAlign w:val="bottom"/>
          </w:tcPr>
          <w:p>
            <w:pPr>
              <w:spacing w:after="0" w:line="179" w:lineRule="exact"/>
              <w:rPr>
                <w:sz w:val="20"/>
                <w:szCs w:val="20"/>
                <w:color w:val="auto"/>
              </w:rPr>
            </w:pPr>
            <w:r>
              <w:rPr>
                <w:rFonts w:ascii="Arial" w:cs="Arial" w:eastAsia="Arial" w:hAnsi="Arial"/>
                <w:sz w:val="17"/>
                <w:szCs w:val="17"/>
                <w:color w:val="auto"/>
              </w:rPr>
              <w:t>Gross profit</w:t>
            </w:r>
          </w:p>
        </w:tc>
        <w:tc>
          <w:tcPr>
            <w:tcW w:w="160" w:type="dxa"/>
            <w:vAlign w:val="bottom"/>
          </w:tcPr>
          <w:p>
            <w:pPr>
              <w:jc w:val="right"/>
              <w:spacing w:after="0" w:line="17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153,388</w:t>
            </w:r>
          </w:p>
        </w:tc>
        <w:tc>
          <w:tcPr>
            <w:tcW w:w="32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175"/>
              <w:spacing w:after="0" w:line="179" w:lineRule="exact"/>
              <w:rPr>
                <w:sz w:val="20"/>
                <w:szCs w:val="20"/>
                <w:color w:val="auto"/>
              </w:rPr>
            </w:pPr>
            <w:r>
              <w:rPr>
                <w:rFonts w:ascii="Arial" w:cs="Arial" w:eastAsia="Arial" w:hAnsi="Arial"/>
                <w:sz w:val="17"/>
                <w:szCs w:val="17"/>
                <w:color w:val="auto"/>
              </w:rPr>
              <w:t>106,324</w:t>
            </w:r>
          </w:p>
        </w:tc>
        <w:tc>
          <w:tcPr>
            <w:tcW w:w="24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95"/>
              <w:spacing w:after="0" w:line="17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75"/>
              <w:spacing w:after="0" w:line="179"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55"/>
              <w:spacing w:after="0" w:line="179" w:lineRule="exact"/>
              <w:rPr>
                <w:sz w:val="20"/>
                <w:szCs w:val="20"/>
                <w:color w:val="auto"/>
              </w:rPr>
            </w:pPr>
            <w:r>
              <w:rPr>
                <w:rFonts w:ascii="Arial" w:cs="Arial" w:eastAsia="Arial" w:hAnsi="Arial"/>
                <w:sz w:val="17"/>
                <w:szCs w:val="17"/>
                <w:color w:val="auto"/>
              </w:rPr>
              <w:t>259,712</w:t>
            </w:r>
          </w:p>
        </w:tc>
        <w:tc>
          <w:tcPr>
            <w:tcW w:w="0" w:type="dxa"/>
            <w:vAlign w:val="bottom"/>
          </w:tcPr>
          <w:p>
            <w:pPr>
              <w:spacing w:after="0"/>
              <w:rPr>
                <w:sz w:val="1"/>
                <w:szCs w:val="1"/>
                <w:color w:val="auto"/>
              </w:rPr>
            </w:pPr>
          </w:p>
        </w:tc>
      </w:tr>
      <w:tr>
        <w:trPr>
          <w:trHeight w:val="222"/>
        </w:trPr>
        <w:tc>
          <w:tcPr>
            <w:tcW w:w="3540" w:type="dxa"/>
            <w:vAlign w:val="bottom"/>
          </w:tcPr>
          <w:p>
            <w:pPr>
              <w:ind w:left="60"/>
              <w:spacing w:after="0" w:line="222" w:lineRule="exact"/>
              <w:rPr>
                <w:sz w:val="20"/>
                <w:szCs w:val="20"/>
                <w:color w:val="auto"/>
              </w:rPr>
            </w:pPr>
            <w:r>
              <w:rPr>
                <w:rFonts w:ascii="Arial" w:cs="Arial" w:eastAsia="Arial" w:hAnsi="Arial"/>
                <w:sz w:val="17"/>
                <w:szCs w:val="17"/>
                <w:color w:val="auto"/>
              </w:rPr>
              <w:t>Non-GAAP adjustments</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1,779</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183"/>
        </w:trPr>
        <w:tc>
          <w:tcPr>
            <w:tcW w:w="3540" w:type="dxa"/>
            <w:vAlign w:val="bottom"/>
          </w:tcPr>
          <w:p>
            <w:pPr>
              <w:spacing w:after="0" w:line="183" w:lineRule="exact"/>
              <w:rPr>
                <w:sz w:val="20"/>
                <w:szCs w:val="20"/>
                <w:color w:val="auto"/>
              </w:rPr>
            </w:pPr>
            <w:r>
              <w:rPr>
                <w:rFonts w:ascii="Arial" w:cs="Arial" w:eastAsia="Arial" w:hAnsi="Arial"/>
                <w:sz w:val="17"/>
                <w:szCs w:val="17"/>
                <w:color w:val="auto"/>
              </w:rPr>
              <w:t>Adjusted gross profit</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155,167</w:t>
            </w:r>
          </w:p>
        </w:tc>
        <w:tc>
          <w:tcPr>
            <w:tcW w:w="3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106,324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4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261,491</w:t>
            </w:r>
          </w:p>
        </w:tc>
        <w:tc>
          <w:tcPr>
            <w:tcW w:w="0" w:type="dxa"/>
            <w:vAlign w:val="bottom"/>
          </w:tcPr>
          <w:p>
            <w:pPr>
              <w:spacing w:after="0"/>
              <w:rPr>
                <w:sz w:val="1"/>
                <w:szCs w:val="1"/>
                <w:color w:val="auto"/>
              </w:rPr>
            </w:pPr>
          </w:p>
        </w:tc>
      </w:tr>
      <w:tr>
        <w:trPr>
          <w:trHeight w:val="160"/>
        </w:trPr>
        <w:tc>
          <w:tcPr>
            <w:tcW w:w="3540" w:type="dxa"/>
            <w:vAlign w:val="bottom"/>
          </w:tcPr>
          <w:p>
            <w:pPr>
              <w:spacing w:after="0" w:line="160" w:lineRule="exact"/>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13"/>
                <w:szCs w:val="13"/>
                <w:color w:val="auto"/>
              </w:rPr>
            </w:pPr>
          </w:p>
        </w:tc>
        <w:tc>
          <w:tcPr>
            <w:tcW w:w="1680" w:type="dxa"/>
            <w:vAlign w:val="bottom"/>
          </w:tcPr>
          <w:p>
            <w:pPr>
              <w:jc w:val="right"/>
              <w:spacing w:after="0" w:line="160" w:lineRule="exact"/>
              <w:rPr>
                <w:sz w:val="20"/>
                <w:szCs w:val="20"/>
                <w:color w:val="auto"/>
              </w:rPr>
            </w:pPr>
            <w:r>
              <w:rPr>
                <w:rFonts w:ascii="Arial" w:cs="Arial" w:eastAsia="Arial" w:hAnsi="Arial"/>
                <w:sz w:val="17"/>
                <w:szCs w:val="17"/>
                <w:color w:val="auto"/>
              </w:rPr>
              <w:t>22.5%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line="160" w:lineRule="exact"/>
              <w:rPr>
                <w:sz w:val="20"/>
                <w:szCs w:val="20"/>
                <w:color w:val="auto"/>
              </w:rPr>
            </w:pPr>
            <w:r>
              <w:rPr>
                <w:rFonts w:ascii="Arial" w:cs="Arial" w:eastAsia="Arial" w:hAnsi="Arial"/>
                <w:sz w:val="17"/>
                <w:szCs w:val="17"/>
                <w:color w:val="auto"/>
              </w:rPr>
              <w:t>20.7%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jc w:val="right"/>
              <w:spacing w:after="0" w:line="160"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Adjusted gross margin</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0"/>
                <w:szCs w:val="20"/>
                <w:color w:val="auto"/>
              </w:rPr>
            </w:pPr>
            <w:r>
              <w:rPr>
                <w:rFonts w:ascii="Arial" w:cs="Arial" w:eastAsia="Arial" w:hAnsi="Arial"/>
                <w:sz w:val="17"/>
                <w:szCs w:val="17"/>
                <w:b w:val="1"/>
                <w:bCs w:val="1"/>
                <w:color w:val="auto"/>
              </w:rPr>
              <w:t>Adjusted EBITDA</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Q3 FY26 YTD</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Adjusted EBITDA</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45,091</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51,133</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(25,958)</w:t>
            </w:r>
          </w:p>
        </w:tc>
        <w:tc>
          <w:tcPr>
            <w:tcW w:w="600" w:type="dxa"/>
            <w:vAlign w:val="bottom"/>
            <w:gridSpan w:val="2"/>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70,266</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 change - FY26 Adjusted EBITDA vs. FY25</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Adjusted EBITDA</w:t>
            </w:r>
          </w:p>
        </w:tc>
        <w:tc>
          <w:tcPr>
            <w:tcW w:w="16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(18.1)%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Adjusted EBITDA margin</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0"/>
                <w:szCs w:val="20"/>
                <w:color w:val="auto"/>
              </w:rPr>
            </w:pPr>
            <w:r>
              <w:rPr>
                <w:rFonts w:ascii="Arial" w:cs="Arial" w:eastAsia="Arial" w:hAnsi="Arial"/>
                <w:sz w:val="17"/>
                <w:szCs w:val="17"/>
                <w:color w:val="auto"/>
              </w:rPr>
              <w:t>Q3 FY25 YTD</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Adjusted EBITDA</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55,072</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65,062</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(26,251)</w:t>
            </w:r>
          </w:p>
        </w:tc>
        <w:tc>
          <w:tcPr>
            <w:tcW w:w="600" w:type="dxa"/>
            <w:vAlign w:val="bottom"/>
            <w:gridSpan w:val="2"/>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93,883</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Adjusted EBITDA margin</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i w:val="1"/>
          <w:iCs w:val="1"/>
          <w:color w:val="auto"/>
          <w:vertAlign w:val="superscript"/>
        </w:rPr>
        <w:t>(1)</w:t>
      </w:r>
      <w:r>
        <w:rPr>
          <w:rFonts w:ascii="Arial" w:cs="Arial" w:eastAsia="Arial" w:hAnsi="Arial"/>
          <w:sz w:val="17"/>
          <w:szCs w:val="17"/>
          <w:i w:val="1"/>
          <w:iCs w:val="1"/>
          <w:color w:val="auto"/>
        </w:rPr>
        <w:t>See accompanying tables "Adjusted Gross Profit and Adjusted Operating Income" and "Adjusted Net (Loss) Income and Adjusted Net (Loss) Income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2173605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center"/>
        <w:ind w:right="12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Adjusted Gross Profit and Adjusted Operating Income</w:t>
      </w:r>
    </w:p>
    <w:p>
      <w:pPr>
        <w:jc w:val="center"/>
        <w:ind w:right="120"/>
        <w:spacing w:after="0"/>
        <w:rPr>
          <w:sz w:val="20"/>
          <w:szCs w:val="20"/>
          <w:color w:val="auto"/>
        </w:rPr>
      </w:pPr>
      <w:r>
        <w:rPr>
          <w:rFonts w:ascii="Arial" w:cs="Arial" w:eastAsia="Arial" w:hAnsi="Arial"/>
          <w:sz w:val="17"/>
          <w:szCs w:val="17"/>
          <w:color w:val="auto"/>
        </w:rPr>
        <w:t>(unaudited and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gridSpan w:val="4"/>
          </w:tcPr>
          <w:p>
            <w:pPr>
              <w:spacing w:after="0"/>
              <w:rPr>
                <w:sz w:val="20"/>
                <w:szCs w:val="20"/>
                <w:color w:val="auto"/>
              </w:rPr>
            </w:pPr>
            <w:r>
              <w:rPr>
                <w:rFonts w:ascii="Arial" w:cs="Arial" w:eastAsia="Arial" w:hAnsi="Arial"/>
                <w:sz w:val="17"/>
                <w:szCs w:val="17"/>
                <w:color w:val="auto"/>
              </w:rPr>
              <w:t>Reconciliation of Gross Profit, GAAP to Gross Profit, as Adjusted: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4"/>
            <w:vMerge w:val="restart"/>
          </w:tcPr>
          <w:p>
            <w:pPr>
              <w:jc w:val="right"/>
              <w:ind w:right="735"/>
              <w:spacing w:after="0"/>
              <w:rPr>
                <w:sz w:val="20"/>
                <w:szCs w:val="20"/>
                <w:color w:val="auto"/>
              </w:rPr>
            </w:pPr>
            <w:r>
              <w:rPr>
                <w:rFonts w:ascii="Arial" w:cs="Arial" w:eastAsia="Arial" w:hAnsi="Arial"/>
                <w:sz w:val="17"/>
                <w:szCs w:val="17"/>
                <w:b w:val="1"/>
                <w:bCs w:val="1"/>
                <w:color w:val="auto"/>
              </w:rPr>
              <w:t>Third Quarter Year to Date</w:t>
            </w:r>
          </w:p>
        </w:tc>
        <w:tc>
          <w:tcPr>
            <w:tcW w:w="0" w:type="dxa"/>
            <w:vAlign w:val="bottom"/>
          </w:tcPr>
          <w:p>
            <w:pPr>
              <w:spacing w:after="0"/>
              <w:rPr>
                <w:sz w:val="1"/>
                <w:szCs w:val="1"/>
                <w:color w:val="auto"/>
              </w:rPr>
            </w:pPr>
          </w:p>
        </w:tc>
      </w:tr>
      <w:tr>
        <w:trPr>
          <w:trHeight w:val="196"/>
        </w:trPr>
        <w:tc>
          <w:tcPr>
            <w:tcW w:w="36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7"/>
                <w:szCs w:val="17"/>
                <w:b w:val="1"/>
                <w:bCs w:val="1"/>
                <w:color w:val="auto"/>
                <w:w w:val="95"/>
              </w:rPr>
              <w:t>Third Quarter</w:t>
            </w:r>
          </w:p>
        </w:tc>
        <w:tc>
          <w:tcPr>
            <w:tcW w:w="1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vMerge w:val="restart"/>
          </w:tcPr>
          <w:p>
            <w:pPr>
              <w:spacing w:after="0"/>
              <w:rPr>
                <w:sz w:val="20"/>
                <w:szCs w:val="20"/>
                <w:color w:val="auto"/>
              </w:rPr>
            </w:pPr>
            <w:r>
              <w:rPr>
                <w:rFonts w:ascii="Arial" w:cs="Arial" w:eastAsia="Arial" w:hAnsi="Arial"/>
                <w:sz w:val="17"/>
                <w:szCs w:val="17"/>
                <w:color w:val="auto"/>
              </w:rPr>
              <w:t>Gross profit, GAAP</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2026</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360" w:type="dxa"/>
            <w:vAlign w:val="bottom"/>
          </w:tcPr>
          <w:p>
            <w:pPr>
              <w:jc w:val="right"/>
              <w:ind w:right="175"/>
              <w:spacing w:after="0" w:line="163" w:lineRule="exact"/>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55"/>
              <w:spacing w:after="0" w:line="163" w:lineRule="exact"/>
              <w:rPr>
                <w:sz w:val="20"/>
                <w:szCs w:val="20"/>
                <w:color w:val="auto"/>
              </w:rPr>
            </w:pPr>
            <w:r>
              <w:rPr>
                <w:rFonts w:ascii="Arial" w:cs="Arial" w:eastAsia="Arial" w:hAnsi="Arial"/>
                <w:sz w:val="17"/>
                <w:szCs w:val="17"/>
                <w:color w:val="auto"/>
              </w:rPr>
              <w:t>70,392</w:t>
            </w:r>
          </w:p>
        </w:tc>
        <w:tc>
          <w:tcPr>
            <w:tcW w:w="180" w:type="dxa"/>
            <w:vAlign w:val="bottom"/>
          </w:tcPr>
          <w:p>
            <w:pPr>
              <w:spacing w:after="0"/>
              <w:rPr>
                <w:sz w:val="14"/>
                <w:szCs w:val="14"/>
                <w:color w:val="auto"/>
              </w:rPr>
            </w:pPr>
          </w:p>
        </w:tc>
        <w:tc>
          <w:tcPr>
            <w:tcW w:w="5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5"/>
              <w:spacing w:after="0" w:line="163" w:lineRule="exact"/>
              <w:rPr>
                <w:sz w:val="20"/>
                <w:szCs w:val="20"/>
                <w:color w:val="auto"/>
              </w:rPr>
            </w:pPr>
            <w:r>
              <w:rPr>
                <w:rFonts w:ascii="Arial" w:cs="Arial" w:eastAsia="Arial" w:hAnsi="Arial"/>
                <w:sz w:val="17"/>
                <w:szCs w:val="17"/>
                <w:color w:val="auto"/>
              </w:rPr>
              <w:t>84,650</w:t>
            </w:r>
          </w:p>
        </w:tc>
        <w:tc>
          <w:tcPr>
            <w:tcW w:w="160" w:type="dxa"/>
            <w:vAlign w:val="bottom"/>
          </w:tcPr>
          <w:p>
            <w:pPr>
              <w:spacing w:after="0"/>
              <w:rPr>
                <w:sz w:val="14"/>
                <w:szCs w:val="14"/>
                <w:color w:val="auto"/>
              </w:rPr>
            </w:pPr>
          </w:p>
        </w:tc>
        <w:tc>
          <w:tcPr>
            <w:tcW w:w="360" w:type="dxa"/>
            <w:vAlign w:val="bottom"/>
          </w:tcPr>
          <w:p>
            <w:pPr>
              <w:jc w:val="right"/>
              <w:ind w:right="175"/>
              <w:spacing w:after="0" w:line="163"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ind w:right="35"/>
              <w:spacing w:after="0" w:line="163" w:lineRule="exact"/>
              <w:rPr>
                <w:sz w:val="20"/>
                <w:szCs w:val="20"/>
                <w:color w:val="auto"/>
              </w:rPr>
            </w:pPr>
            <w:r>
              <w:rPr>
                <w:rFonts w:ascii="Arial" w:cs="Arial" w:eastAsia="Arial" w:hAnsi="Arial"/>
                <w:sz w:val="17"/>
                <w:szCs w:val="17"/>
                <w:color w:val="auto"/>
              </w:rPr>
              <w:t>212,909</w:t>
            </w:r>
          </w:p>
        </w:tc>
        <w:tc>
          <w:tcPr>
            <w:tcW w:w="160" w:type="dxa"/>
            <w:vAlign w:val="bottom"/>
          </w:tcPr>
          <w:p>
            <w:pPr>
              <w:spacing w:after="0"/>
              <w:rPr>
                <w:sz w:val="14"/>
                <w:szCs w:val="14"/>
                <w:color w:val="auto"/>
              </w:rPr>
            </w:pPr>
          </w:p>
        </w:tc>
        <w:tc>
          <w:tcPr>
            <w:tcW w:w="360" w:type="dxa"/>
            <w:vAlign w:val="bottom"/>
          </w:tcPr>
          <w:p>
            <w:pPr>
              <w:jc w:val="right"/>
              <w:ind w:right="175"/>
              <w:spacing w:after="0" w:line="163"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ind w:right="35"/>
              <w:spacing w:after="0" w:line="163" w:lineRule="exact"/>
              <w:rPr>
                <w:sz w:val="20"/>
                <w:szCs w:val="20"/>
                <w:color w:val="auto"/>
              </w:rPr>
            </w:pPr>
            <w:r>
              <w:rPr>
                <w:rFonts w:ascii="Arial" w:cs="Arial" w:eastAsia="Arial" w:hAnsi="Arial"/>
                <w:sz w:val="17"/>
                <w:szCs w:val="17"/>
                <w:color w:val="auto"/>
              </w:rPr>
              <w:t>259,712</w:t>
            </w:r>
          </w:p>
        </w:tc>
        <w:tc>
          <w:tcPr>
            <w:tcW w:w="0" w:type="dxa"/>
            <w:vAlign w:val="bottom"/>
          </w:tcPr>
          <w:p>
            <w:pPr>
              <w:spacing w:after="0"/>
              <w:rPr>
                <w:sz w:val="1"/>
                <w:szCs w:val="1"/>
                <w:color w:val="auto"/>
              </w:rPr>
            </w:pPr>
          </w:p>
        </w:tc>
      </w:tr>
      <w:tr>
        <w:trPr>
          <w:trHeight w:val="187"/>
        </w:trPr>
        <w:tc>
          <w:tcPr>
            <w:tcW w:w="3680" w:type="dxa"/>
            <w:vAlign w:val="bottom"/>
          </w:tcPr>
          <w:p>
            <w:pPr>
              <w:ind w:left="60"/>
              <w:spacing w:after="0" w:line="187" w:lineRule="exact"/>
              <w:rPr>
                <w:sz w:val="20"/>
                <w:szCs w:val="20"/>
                <w:color w:val="auto"/>
              </w:rPr>
            </w:pPr>
            <w:r>
              <w:rPr>
                <w:rFonts w:ascii="Arial" w:cs="Arial" w:eastAsia="Arial" w:hAnsi="Arial"/>
                <w:sz w:val="17"/>
                <w:szCs w:val="17"/>
                <w:i w:val="1"/>
                <w:iCs w:val="1"/>
                <w:color w:val="auto"/>
              </w:rPr>
              <w:t>Adjustments to Cost of sales: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Plant closure related costs, net</w:t>
            </w:r>
          </w:p>
        </w:tc>
        <w:tc>
          <w:tcPr>
            <w:tcW w:w="360" w:type="dxa"/>
            <w:vAlign w:val="bottom"/>
          </w:tcPr>
          <w:p>
            <w:pPr>
              <w:spacing w:after="0"/>
              <w:rPr>
                <w:sz w:val="16"/>
                <w:szCs w:val="16"/>
                <w:color w:val="auto"/>
              </w:rPr>
            </w:pPr>
          </w:p>
        </w:tc>
        <w:tc>
          <w:tcPr>
            <w:tcW w:w="144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594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4,802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1,395</w:t>
            </w: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Warehouse/manufacturing consolidation and</w:t>
            </w:r>
          </w:p>
        </w:tc>
        <w:tc>
          <w:tcPr>
            <w:tcW w:w="360" w:type="dxa"/>
            <w:vAlign w:val="bottom"/>
          </w:tcPr>
          <w:p>
            <w:pPr>
              <w:spacing w:after="0"/>
              <w:rPr>
                <w:sz w:val="16"/>
                <w:szCs w:val="16"/>
                <w:color w:val="auto"/>
              </w:rPr>
            </w:pPr>
          </w:p>
        </w:tc>
        <w:tc>
          <w:tcPr>
            <w:tcW w:w="1440" w:type="dxa"/>
            <w:vAlign w:val="bottom"/>
            <w:gridSpan w:val="2"/>
            <w:vMerge w:val="restart"/>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7"/>
                <w:szCs w:val="17"/>
                <w:color w:val="auto"/>
              </w:rPr>
              <w:t>384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35"/>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198"/>
        </w:trPr>
        <w:tc>
          <w:tcPr>
            <w:tcW w:w="3680" w:type="dxa"/>
            <w:vAlign w:val="bottom"/>
          </w:tcPr>
          <w:p>
            <w:pPr>
              <w:ind w:left="100"/>
              <w:spacing w:after="0"/>
              <w:rPr>
                <w:sz w:val="20"/>
                <w:szCs w:val="20"/>
                <w:color w:val="auto"/>
              </w:rPr>
            </w:pPr>
            <w:r>
              <w:rPr>
                <w:rFonts w:ascii="Arial" w:cs="Arial" w:eastAsia="Arial" w:hAnsi="Arial"/>
                <w:sz w:val="17"/>
                <w:szCs w:val="17"/>
                <w:color w:val="auto"/>
              </w:rPr>
              <w:t>other costs, net</w:t>
            </w: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line="169" w:lineRule="exact"/>
              <w:rPr>
                <w:sz w:val="20"/>
                <w:szCs w:val="20"/>
                <w:color w:val="auto"/>
              </w:rPr>
            </w:pPr>
            <w:r>
              <w:rPr>
                <w:rFonts w:ascii="Arial" w:cs="Arial" w:eastAsia="Arial" w:hAnsi="Arial"/>
                <w:sz w:val="17"/>
                <w:szCs w:val="17"/>
                <w:color w:val="auto"/>
              </w:rPr>
              <w:t>Gross profit, as adjusted</w:t>
            </w:r>
          </w:p>
        </w:tc>
        <w:tc>
          <w:tcPr>
            <w:tcW w:w="3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ind w:right="55"/>
              <w:spacing w:after="0" w:line="169" w:lineRule="exact"/>
              <w:rPr>
                <w:sz w:val="20"/>
                <w:szCs w:val="20"/>
                <w:color w:val="auto"/>
              </w:rPr>
            </w:pPr>
            <w:r>
              <w:rPr>
                <w:rFonts w:ascii="Arial" w:cs="Arial" w:eastAsia="Arial" w:hAnsi="Arial"/>
                <w:sz w:val="17"/>
                <w:szCs w:val="17"/>
                <w:color w:val="auto"/>
              </w:rPr>
              <w:t>70,986</w:t>
            </w:r>
          </w:p>
        </w:tc>
        <w:tc>
          <w:tcPr>
            <w:tcW w:w="180" w:type="dxa"/>
            <w:vAlign w:val="bottom"/>
          </w:tcPr>
          <w:p>
            <w:pPr>
              <w:spacing w:after="0"/>
              <w:rPr>
                <w:sz w:val="15"/>
                <w:szCs w:val="15"/>
                <w:color w:val="auto"/>
              </w:rPr>
            </w:pPr>
          </w:p>
        </w:tc>
        <w:tc>
          <w:tcPr>
            <w:tcW w:w="500" w:type="dxa"/>
            <w:vAlign w:val="bottom"/>
            <w:tcBorders>
              <w:bottom w:val="single" w:sz="8" w:color="auto"/>
            </w:tcBorders>
            <w:gridSpan w:val="2"/>
          </w:tcPr>
          <w:p>
            <w:pPr>
              <w:jc w:val="right"/>
              <w:ind w:right="420"/>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85,242</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217,711</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261,491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68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rPr>
              <w:t>Reconciliation of Operating Loss, GAAP to Operating Income, as Adjusted:</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4"/>
            <w:vMerge w:val="restart"/>
          </w:tcPr>
          <w:p>
            <w:pPr>
              <w:jc w:val="right"/>
              <w:ind w:right="735"/>
              <w:spacing w:after="0"/>
              <w:rPr>
                <w:sz w:val="20"/>
                <w:szCs w:val="20"/>
                <w:color w:val="auto"/>
              </w:rPr>
            </w:pPr>
            <w:r>
              <w:rPr>
                <w:rFonts w:ascii="Arial" w:cs="Arial" w:eastAsia="Arial" w:hAnsi="Arial"/>
                <w:sz w:val="17"/>
                <w:szCs w:val="17"/>
                <w:b w:val="1"/>
                <w:bCs w:val="1"/>
                <w:color w:val="auto"/>
              </w:rPr>
              <w:t>Third Quarter Year to Date</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7"/>
                <w:szCs w:val="17"/>
                <w:b w:val="1"/>
                <w:bCs w:val="1"/>
                <w:color w:val="auto"/>
              </w:rPr>
              <w:t>Third Quarter</w:t>
            </w:r>
          </w:p>
        </w:tc>
        <w:tc>
          <w:tcPr>
            <w:tcW w:w="1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vMerge w:val="restart"/>
          </w:tcPr>
          <w:p>
            <w:pPr>
              <w:spacing w:after="0"/>
              <w:rPr>
                <w:sz w:val="20"/>
                <w:szCs w:val="20"/>
                <w:color w:val="auto"/>
              </w:rPr>
            </w:pPr>
            <w:r>
              <w:rPr>
                <w:rFonts w:ascii="Arial" w:cs="Arial" w:eastAsia="Arial" w:hAnsi="Arial"/>
                <w:sz w:val="17"/>
                <w:szCs w:val="17"/>
                <w:color w:val="auto"/>
              </w:rPr>
              <w:t>Operating loss, GAAP</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2026</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360" w:type="dxa"/>
            <w:vAlign w:val="bottom"/>
          </w:tcPr>
          <w:p>
            <w:pPr>
              <w:jc w:val="right"/>
              <w:ind w:right="175"/>
              <w:spacing w:after="0" w:line="163" w:lineRule="exact"/>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spacing w:after="0" w:line="163" w:lineRule="exact"/>
              <w:rPr>
                <w:sz w:val="20"/>
                <w:szCs w:val="20"/>
                <w:color w:val="auto"/>
              </w:rPr>
            </w:pPr>
            <w:r>
              <w:rPr>
                <w:rFonts w:ascii="Arial" w:cs="Arial" w:eastAsia="Arial" w:hAnsi="Arial"/>
                <w:sz w:val="17"/>
                <w:szCs w:val="17"/>
                <w:color w:val="auto"/>
              </w:rPr>
              <w:t>(42,131)</w:t>
            </w:r>
          </w:p>
        </w:tc>
        <w:tc>
          <w:tcPr>
            <w:tcW w:w="180" w:type="dxa"/>
            <w:vAlign w:val="bottom"/>
          </w:tcPr>
          <w:p>
            <w:pPr>
              <w:spacing w:after="0"/>
              <w:rPr>
                <w:sz w:val="14"/>
                <w:szCs w:val="14"/>
                <w:color w:val="auto"/>
              </w:rPr>
            </w:pPr>
          </w:p>
        </w:tc>
        <w:tc>
          <w:tcPr>
            <w:tcW w:w="5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63" w:lineRule="exact"/>
              <w:rPr>
                <w:sz w:val="20"/>
                <w:szCs w:val="20"/>
                <w:color w:val="auto"/>
              </w:rPr>
            </w:pPr>
            <w:r>
              <w:rPr>
                <w:rFonts w:ascii="Arial" w:cs="Arial" w:eastAsia="Arial" w:hAnsi="Arial"/>
                <w:sz w:val="17"/>
                <w:szCs w:val="17"/>
                <w:color w:val="auto"/>
              </w:rPr>
              <w:t>(121,079)</w:t>
            </w:r>
          </w:p>
        </w:tc>
        <w:tc>
          <w:tcPr>
            <w:tcW w:w="160" w:type="dxa"/>
            <w:vAlign w:val="bottom"/>
          </w:tcPr>
          <w:p>
            <w:pPr>
              <w:spacing w:after="0"/>
              <w:rPr>
                <w:sz w:val="14"/>
                <w:szCs w:val="14"/>
                <w:color w:val="auto"/>
              </w:rPr>
            </w:pPr>
          </w:p>
        </w:tc>
        <w:tc>
          <w:tcPr>
            <w:tcW w:w="360" w:type="dxa"/>
            <w:vAlign w:val="bottom"/>
          </w:tcPr>
          <w:p>
            <w:pPr>
              <w:jc w:val="right"/>
              <w:ind w:right="175"/>
              <w:spacing w:after="0" w:line="163"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line="163" w:lineRule="exact"/>
              <w:rPr>
                <w:sz w:val="20"/>
                <w:szCs w:val="20"/>
                <w:color w:val="auto"/>
              </w:rPr>
            </w:pPr>
            <w:r>
              <w:rPr>
                <w:rFonts w:ascii="Arial" w:cs="Arial" w:eastAsia="Arial" w:hAnsi="Arial"/>
                <w:sz w:val="17"/>
                <w:szCs w:val="17"/>
                <w:color w:val="auto"/>
              </w:rPr>
              <w:t>(147,818)</w:t>
            </w:r>
          </w:p>
        </w:tc>
        <w:tc>
          <w:tcPr>
            <w:tcW w:w="160" w:type="dxa"/>
            <w:vAlign w:val="bottom"/>
          </w:tcPr>
          <w:p>
            <w:pPr>
              <w:spacing w:after="0"/>
              <w:rPr>
                <w:sz w:val="14"/>
                <w:szCs w:val="14"/>
                <w:color w:val="auto"/>
              </w:rPr>
            </w:pPr>
          </w:p>
        </w:tc>
        <w:tc>
          <w:tcPr>
            <w:tcW w:w="360" w:type="dxa"/>
            <w:vAlign w:val="bottom"/>
          </w:tcPr>
          <w:p>
            <w:pPr>
              <w:jc w:val="right"/>
              <w:ind w:right="175"/>
              <w:spacing w:after="0" w:line="163"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line="163" w:lineRule="exact"/>
              <w:rPr>
                <w:sz w:val="20"/>
                <w:szCs w:val="20"/>
                <w:color w:val="auto"/>
              </w:rPr>
            </w:pPr>
            <w:r>
              <w:rPr>
                <w:rFonts w:ascii="Arial" w:cs="Arial" w:eastAsia="Arial" w:hAnsi="Arial"/>
                <w:sz w:val="17"/>
                <w:szCs w:val="17"/>
                <w:color w:val="auto"/>
              </w:rPr>
              <w:t>(209,925)</w:t>
            </w:r>
          </w:p>
        </w:tc>
        <w:tc>
          <w:tcPr>
            <w:tcW w:w="0" w:type="dxa"/>
            <w:vAlign w:val="bottom"/>
          </w:tcPr>
          <w:p>
            <w:pPr>
              <w:spacing w:after="0"/>
              <w:rPr>
                <w:sz w:val="1"/>
                <w:szCs w:val="1"/>
                <w:color w:val="auto"/>
              </w:rPr>
            </w:pPr>
          </w:p>
        </w:tc>
      </w:tr>
      <w:tr>
        <w:trPr>
          <w:trHeight w:val="187"/>
        </w:trPr>
        <w:tc>
          <w:tcPr>
            <w:tcW w:w="3680" w:type="dxa"/>
            <w:vAlign w:val="bottom"/>
          </w:tcPr>
          <w:p>
            <w:pPr>
              <w:ind w:left="60"/>
              <w:spacing w:after="0" w:line="187" w:lineRule="exact"/>
              <w:rPr>
                <w:sz w:val="20"/>
                <w:szCs w:val="20"/>
                <w:color w:val="auto"/>
              </w:rPr>
            </w:pPr>
            <w:r>
              <w:rPr>
                <w:rFonts w:ascii="Arial" w:cs="Arial" w:eastAsia="Arial" w:hAnsi="Arial"/>
                <w:sz w:val="17"/>
                <w:szCs w:val="17"/>
                <w:i w:val="1"/>
                <w:iCs w:val="1"/>
                <w:color w:val="auto"/>
              </w:rPr>
              <w:t>Adjustments to Cost of sales: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Plant closure related costs, net</w:t>
            </w:r>
          </w:p>
        </w:tc>
        <w:tc>
          <w:tcPr>
            <w:tcW w:w="360" w:type="dxa"/>
            <w:vAlign w:val="bottom"/>
          </w:tcPr>
          <w:p>
            <w:pPr>
              <w:spacing w:after="0"/>
              <w:rPr>
                <w:sz w:val="16"/>
                <w:szCs w:val="16"/>
                <w:color w:val="auto"/>
              </w:rPr>
            </w:pPr>
          </w:p>
        </w:tc>
        <w:tc>
          <w:tcPr>
            <w:tcW w:w="144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594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4,802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1,395</w:t>
            </w: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Warehouse/manufacturing consolidation and</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00"/>
              <w:spacing w:after="0"/>
              <w:rPr>
                <w:sz w:val="20"/>
                <w:szCs w:val="20"/>
                <w:color w:val="auto"/>
              </w:rPr>
            </w:pPr>
            <w:r>
              <w:rPr>
                <w:rFonts w:ascii="Arial" w:cs="Arial" w:eastAsia="Arial" w:hAnsi="Arial"/>
                <w:sz w:val="17"/>
                <w:szCs w:val="17"/>
                <w:color w:val="auto"/>
              </w:rPr>
              <w:t>other costs, net</w:t>
            </w:r>
          </w:p>
        </w:tc>
        <w:tc>
          <w:tcPr>
            <w:tcW w:w="360" w:type="dxa"/>
            <w:vAlign w:val="bottom"/>
          </w:tcPr>
          <w:p>
            <w:pPr>
              <w:spacing w:after="0"/>
              <w:rPr>
                <w:sz w:val="19"/>
                <w:szCs w:val="19"/>
                <w:color w:val="auto"/>
              </w:rPr>
            </w:pPr>
          </w:p>
        </w:tc>
        <w:tc>
          <w:tcPr>
            <w:tcW w:w="14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384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342"/>
        </w:trPr>
        <w:tc>
          <w:tcPr>
            <w:tcW w:w="3680" w:type="dxa"/>
            <w:vAlign w:val="bottom"/>
          </w:tcPr>
          <w:p>
            <w:pPr>
              <w:ind w:left="60"/>
              <w:spacing w:after="0"/>
              <w:rPr>
                <w:sz w:val="20"/>
                <w:szCs w:val="20"/>
                <w:color w:val="auto"/>
              </w:rPr>
            </w:pPr>
            <w:r>
              <w:rPr>
                <w:rFonts w:ascii="Arial" w:cs="Arial" w:eastAsia="Arial" w:hAnsi="Arial"/>
                <w:sz w:val="17"/>
                <w:szCs w:val="17"/>
                <w:i w:val="1"/>
                <w:iCs w:val="1"/>
                <w:color w:val="auto"/>
              </w:rPr>
              <w:t>Adjustments to Operating expenses</w:t>
            </w:r>
            <w:r>
              <w:rPr>
                <w:rFonts w:ascii="Arial" w:cs="Arial" w:eastAsia="Arial" w:hAnsi="Arial"/>
                <w:sz w:val="22"/>
                <w:szCs w:val="22"/>
                <w:i w:val="1"/>
                <w:iCs w:val="1"/>
                <w:color w:val="auto"/>
                <w:vertAlign w:val="superscript"/>
              </w:rPr>
              <w:t>(a)</w:t>
            </w:r>
            <w:r>
              <w:rPr>
                <w:rFonts w:ascii="Arial" w:cs="Arial" w:eastAsia="Arial" w:hAnsi="Arial"/>
                <w:sz w:val="17"/>
                <w:szCs w:val="17"/>
                <w:i w:val="1"/>
                <w:iCs w:val="1"/>
                <w:color w:val="auto"/>
              </w:rPr>
              <w:t>:</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Goodwill impairment</w:t>
            </w:r>
          </w:p>
        </w:tc>
        <w:tc>
          <w:tcPr>
            <w:tcW w:w="360" w:type="dxa"/>
            <w:vAlign w:val="bottom"/>
          </w:tcPr>
          <w:p>
            <w:pPr>
              <w:spacing w:after="0"/>
              <w:rPr>
                <w:sz w:val="16"/>
                <w:szCs w:val="16"/>
                <w:color w:val="auto"/>
              </w:rPr>
            </w:pPr>
          </w:p>
        </w:tc>
        <w:tc>
          <w:tcPr>
            <w:tcW w:w="144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31,018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110,251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150,926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201,518</w:t>
            </w: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Long-lived asset and intangibles impairment</w:t>
            </w:r>
          </w:p>
        </w:tc>
        <w:tc>
          <w:tcPr>
            <w:tcW w:w="360" w:type="dxa"/>
            <w:vAlign w:val="bottom"/>
          </w:tcPr>
          <w:p>
            <w:pPr>
              <w:spacing w:after="0"/>
              <w:rPr>
                <w:sz w:val="16"/>
                <w:szCs w:val="16"/>
                <w:color w:val="auto"/>
              </w:rPr>
            </w:pPr>
          </w:p>
        </w:tc>
        <w:tc>
          <w:tcPr>
            <w:tcW w:w="144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15,047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24,012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26,964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42,029</w:t>
            </w:r>
          </w:p>
        </w:tc>
        <w:tc>
          <w:tcPr>
            <w:tcW w:w="0" w:type="dxa"/>
            <w:vAlign w:val="bottom"/>
          </w:tcPr>
          <w:p>
            <w:pPr>
              <w:spacing w:after="0"/>
              <w:rPr>
                <w:sz w:val="1"/>
                <w:szCs w:val="1"/>
                <w:color w:val="auto"/>
              </w:rPr>
            </w:pPr>
          </w:p>
        </w:tc>
      </w:tr>
      <w:tr>
        <w:trPr>
          <w:trHeight w:val="171"/>
        </w:trPr>
        <w:tc>
          <w:tcPr>
            <w:tcW w:w="3680" w:type="dxa"/>
            <w:vAlign w:val="bottom"/>
          </w:tcPr>
          <w:p>
            <w:pPr>
              <w:ind w:left="100"/>
              <w:spacing w:after="0" w:line="171" w:lineRule="exact"/>
              <w:rPr>
                <w:sz w:val="20"/>
                <w:szCs w:val="20"/>
                <w:color w:val="auto"/>
              </w:rPr>
            </w:pPr>
            <w:r>
              <w:rPr>
                <w:rFonts w:ascii="Arial" w:cs="Arial" w:eastAsia="Arial" w:hAnsi="Arial"/>
                <w:sz w:val="17"/>
                <w:szCs w:val="17"/>
                <w:color w:val="auto"/>
              </w:rPr>
              <w:t>Productivity and transformation costs</w:t>
            </w:r>
          </w:p>
        </w:tc>
        <w:tc>
          <w:tcPr>
            <w:tcW w:w="360" w:type="dxa"/>
            <w:vAlign w:val="bottom"/>
          </w:tcPr>
          <w:p>
            <w:pPr>
              <w:spacing w:after="0"/>
              <w:rPr>
                <w:sz w:val="14"/>
                <w:szCs w:val="14"/>
                <w:color w:val="auto"/>
              </w:rPr>
            </w:pPr>
          </w:p>
        </w:tc>
        <w:tc>
          <w:tcPr>
            <w:tcW w:w="1440" w:type="dxa"/>
            <w:vAlign w:val="bottom"/>
            <w:gridSpan w:val="2"/>
          </w:tcPr>
          <w:p>
            <w:pPr>
              <w:jc w:val="right"/>
              <w:ind w:right="55"/>
              <w:spacing w:after="0" w:line="171" w:lineRule="exact"/>
              <w:rPr>
                <w:sz w:val="20"/>
                <w:szCs w:val="20"/>
                <w:color w:val="auto"/>
              </w:rPr>
            </w:pPr>
            <w:r>
              <w:rPr>
                <w:rFonts w:ascii="Arial" w:cs="Arial" w:eastAsia="Arial" w:hAnsi="Arial"/>
                <w:sz w:val="17"/>
                <w:szCs w:val="17"/>
                <w:color w:val="auto"/>
              </w:rPr>
              <w:t>4,066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35"/>
              <w:spacing w:after="0" w:line="171" w:lineRule="exact"/>
              <w:rPr>
                <w:sz w:val="20"/>
                <w:szCs w:val="20"/>
                <w:color w:val="auto"/>
              </w:rPr>
            </w:pPr>
            <w:r>
              <w:rPr>
                <w:rFonts w:ascii="Arial" w:cs="Arial" w:eastAsia="Arial" w:hAnsi="Arial"/>
                <w:sz w:val="17"/>
                <w:szCs w:val="17"/>
                <w:color w:val="auto"/>
              </w:rPr>
              <w:t>7,289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ind w:right="35"/>
              <w:spacing w:after="0" w:line="171" w:lineRule="exact"/>
              <w:rPr>
                <w:sz w:val="20"/>
                <w:szCs w:val="20"/>
                <w:color w:val="auto"/>
              </w:rPr>
            </w:pPr>
            <w:r>
              <w:rPr>
                <w:rFonts w:ascii="Arial" w:cs="Arial" w:eastAsia="Arial" w:hAnsi="Arial"/>
                <w:sz w:val="17"/>
                <w:szCs w:val="17"/>
                <w:color w:val="auto"/>
              </w:rPr>
              <w:t>17,519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ind w:right="35"/>
              <w:spacing w:after="0" w:line="171" w:lineRule="exact"/>
              <w:rPr>
                <w:sz w:val="20"/>
                <w:szCs w:val="20"/>
                <w:color w:val="auto"/>
              </w:rPr>
            </w:pPr>
            <w:r>
              <w:rPr>
                <w:rFonts w:ascii="Arial" w:cs="Arial" w:eastAsia="Arial" w:hAnsi="Arial"/>
                <w:sz w:val="17"/>
                <w:szCs w:val="17"/>
                <w:color w:val="auto"/>
              </w:rPr>
              <w:t>16,497</w:t>
            </w:r>
          </w:p>
        </w:tc>
        <w:tc>
          <w:tcPr>
            <w:tcW w:w="0" w:type="dxa"/>
            <w:vAlign w:val="bottom"/>
          </w:tcPr>
          <w:p>
            <w:pPr>
              <w:spacing w:after="0"/>
              <w:rPr>
                <w:sz w:val="1"/>
                <w:szCs w:val="1"/>
                <w:color w:val="auto"/>
              </w:rPr>
            </w:pPr>
          </w:p>
        </w:tc>
      </w:tr>
      <w:tr>
        <w:trPr>
          <w:trHeight w:val="207"/>
        </w:trPr>
        <w:tc>
          <w:tcPr>
            <w:tcW w:w="3680" w:type="dxa"/>
            <w:vAlign w:val="bottom"/>
          </w:tcPr>
          <w:p>
            <w:pPr>
              <w:ind w:left="100"/>
              <w:spacing w:after="0" w:line="207" w:lineRule="exact"/>
              <w:rPr>
                <w:sz w:val="20"/>
                <w:szCs w:val="20"/>
                <w:color w:val="auto"/>
              </w:rPr>
            </w:pPr>
            <w:r>
              <w:rPr>
                <w:rFonts w:ascii="Arial" w:cs="Arial" w:eastAsia="Arial" w:hAnsi="Arial"/>
                <w:sz w:val="17"/>
                <w:szCs w:val="17"/>
                <w:color w:val="auto"/>
              </w:rPr>
              <w:t>Certain litigation expenses, net</w:t>
            </w:r>
            <w:r>
              <w:rPr>
                <w:rFonts w:ascii="Arial" w:cs="Arial" w:eastAsia="Arial" w:hAnsi="Arial"/>
                <w:sz w:val="22"/>
                <w:szCs w:val="22"/>
                <w:color w:val="auto"/>
                <w:vertAlign w:val="superscript"/>
              </w:rPr>
              <w:t>(b)</w:t>
            </w:r>
          </w:p>
        </w:tc>
        <w:tc>
          <w:tcPr>
            <w:tcW w:w="360" w:type="dxa"/>
            <w:vAlign w:val="bottom"/>
          </w:tcPr>
          <w:p>
            <w:pPr>
              <w:spacing w:after="0"/>
              <w:rPr>
                <w:sz w:val="18"/>
                <w:szCs w:val="18"/>
                <w:color w:val="auto"/>
              </w:rPr>
            </w:pPr>
          </w:p>
        </w:tc>
        <w:tc>
          <w:tcPr>
            <w:tcW w:w="1440" w:type="dxa"/>
            <w:vAlign w:val="bottom"/>
            <w:gridSpan w:val="2"/>
          </w:tcPr>
          <w:p>
            <w:pPr>
              <w:jc w:val="right"/>
              <w:ind w:right="55"/>
              <w:spacing w:after="0"/>
              <w:rPr>
                <w:sz w:val="20"/>
                <w:szCs w:val="20"/>
                <w:color w:val="auto"/>
              </w:rPr>
            </w:pPr>
            <w:r>
              <w:rPr>
                <w:rFonts w:ascii="Arial" w:cs="Arial" w:eastAsia="Arial" w:hAnsi="Arial"/>
                <w:sz w:val="17"/>
                <w:szCs w:val="17"/>
                <w:color w:val="auto"/>
              </w:rPr>
              <w:t>2,519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3,164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2,254</w:t>
            </w:r>
          </w:p>
        </w:tc>
        <w:tc>
          <w:tcPr>
            <w:tcW w:w="0" w:type="dxa"/>
            <w:vAlign w:val="bottom"/>
          </w:tcPr>
          <w:p>
            <w:pPr>
              <w:spacing w:after="0"/>
              <w:rPr>
                <w:sz w:val="1"/>
                <w:szCs w:val="1"/>
                <w:color w:val="auto"/>
              </w:rPr>
            </w:pPr>
          </w:p>
        </w:tc>
      </w:tr>
      <w:tr>
        <w:trPr>
          <w:trHeight w:val="189"/>
        </w:trPr>
        <w:tc>
          <w:tcPr>
            <w:tcW w:w="3680" w:type="dxa"/>
            <w:vAlign w:val="bottom"/>
          </w:tcPr>
          <w:p>
            <w:pPr>
              <w:ind w:left="100"/>
              <w:spacing w:after="0" w:line="189" w:lineRule="exact"/>
              <w:rPr>
                <w:sz w:val="20"/>
                <w:szCs w:val="20"/>
                <w:color w:val="auto"/>
              </w:rPr>
            </w:pPr>
            <w:r>
              <w:rPr>
                <w:rFonts w:ascii="Arial" w:cs="Arial" w:eastAsia="Arial" w:hAnsi="Arial"/>
                <w:sz w:val="17"/>
                <w:szCs w:val="17"/>
                <w:color w:val="auto"/>
              </w:rPr>
              <w:t>Transaction and integration costs, net</w:t>
            </w:r>
          </w:p>
        </w:tc>
        <w:tc>
          <w:tcPr>
            <w:tcW w:w="360" w:type="dxa"/>
            <w:vAlign w:val="bottom"/>
          </w:tcPr>
          <w:p>
            <w:pPr>
              <w:spacing w:after="0"/>
              <w:rPr>
                <w:sz w:val="16"/>
                <w:szCs w:val="16"/>
                <w:color w:val="auto"/>
              </w:rPr>
            </w:pPr>
          </w:p>
        </w:tc>
        <w:tc>
          <w:tcPr>
            <w:tcW w:w="144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1,553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(151)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4,735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179"/>
        </w:trPr>
        <w:tc>
          <w:tcPr>
            <w:tcW w:w="3680" w:type="dxa"/>
            <w:vAlign w:val="bottom"/>
          </w:tcPr>
          <w:p>
            <w:pPr>
              <w:ind w:left="100"/>
              <w:spacing w:after="0" w:line="179" w:lineRule="exact"/>
              <w:rPr>
                <w:sz w:val="20"/>
                <w:szCs w:val="20"/>
                <w:color w:val="auto"/>
              </w:rPr>
            </w:pPr>
            <w:r>
              <w:rPr>
                <w:rFonts w:ascii="Arial" w:cs="Arial" w:eastAsia="Arial" w:hAnsi="Arial"/>
                <w:sz w:val="17"/>
                <w:szCs w:val="17"/>
                <w:color w:val="auto"/>
              </w:rPr>
              <w:t>Plant closure related costs, net</w:t>
            </w:r>
          </w:p>
        </w:tc>
        <w:tc>
          <w:tcPr>
            <w:tcW w:w="360" w:type="dxa"/>
            <w:vAlign w:val="bottom"/>
          </w:tcPr>
          <w:p>
            <w:pPr>
              <w:spacing w:after="0"/>
              <w:rPr>
                <w:sz w:val="15"/>
                <w:szCs w:val="15"/>
                <w:color w:val="auto"/>
              </w:rPr>
            </w:pPr>
          </w:p>
        </w:tc>
        <w:tc>
          <w:tcPr>
            <w:tcW w:w="1440" w:type="dxa"/>
            <w:vAlign w:val="bottom"/>
            <w:gridSpan w:val="2"/>
          </w:tcPr>
          <w:p>
            <w:pPr>
              <w:jc w:val="right"/>
              <w:ind w:right="55"/>
              <w:spacing w:after="0" w:line="179" w:lineRule="exact"/>
              <w:rPr>
                <w:sz w:val="20"/>
                <w:szCs w:val="20"/>
                <w:color w:val="auto"/>
              </w:rPr>
            </w:pPr>
            <w:r>
              <w:rPr>
                <w:rFonts w:ascii="Arial" w:cs="Arial" w:eastAsia="Arial" w:hAnsi="Arial"/>
                <w:sz w:val="17"/>
                <w:szCs w:val="17"/>
                <w:color w:val="auto"/>
              </w:rPr>
              <w:t>133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Arial" w:cs="Arial" w:eastAsia="Arial" w:hAnsi="Arial"/>
                <w:sz w:val="17"/>
                <w:szCs w:val="17"/>
                <w:color w:val="auto"/>
              </w:rPr>
              <w:t>(213)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35"/>
              <w:spacing w:after="0" w:line="179" w:lineRule="exact"/>
              <w:rPr>
                <w:sz w:val="20"/>
                <w:szCs w:val="20"/>
                <w:color w:val="auto"/>
              </w:rPr>
            </w:pPr>
            <w:r>
              <w:rPr>
                <w:rFonts w:ascii="Arial" w:cs="Arial" w:eastAsia="Arial" w:hAnsi="Arial"/>
                <w:sz w:val="17"/>
                <w:szCs w:val="17"/>
                <w:color w:val="auto"/>
              </w:rPr>
              <w:t>281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line="17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22"/>
        </w:trPr>
        <w:tc>
          <w:tcPr>
            <w:tcW w:w="3680" w:type="dxa"/>
            <w:vAlign w:val="bottom"/>
          </w:tcPr>
          <w:p>
            <w:pPr>
              <w:ind w:left="100"/>
              <w:spacing w:after="0" w:line="222" w:lineRule="exact"/>
              <w:rPr>
                <w:sz w:val="20"/>
                <w:szCs w:val="20"/>
                <w:color w:val="auto"/>
              </w:rPr>
            </w:pPr>
            <w:r>
              <w:rPr>
                <w:rFonts w:ascii="Arial" w:cs="Arial" w:eastAsia="Arial" w:hAnsi="Arial"/>
                <w:sz w:val="17"/>
                <w:szCs w:val="17"/>
                <w:color w:val="auto"/>
              </w:rPr>
              <w:t>Proceeds from insurance claim</w:t>
            </w:r>
            <w:r>
              <w:rPr>
                <w:rFonts w:ascii="Arial" w:cs="Arial" w:eastAsia="Arial" w:hAnsi="Arial"/>
                <w:sz w:val="22"/>
                <w:szCs w:val="22"/>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(25,900)</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3680" w:type="dxa"/>
            <w:vAlign w:val="bottom"/>
          </w:tcPr>
          <w:p>
            <w:pPr>
              <w:spacing w:after="0" w:line="169" w:lineRule="exact"/>
              <w:rPr>
                <w:sz w:val="20"/>
                <w:szCs w:val="20"/>
                <w:color w:val="auto"/>
              </w:rPr>
            </w:pPr>
            <w:r>
              <w:rPr>
                <w:rFonts w:ascii="Arial" w:cs="Arial" w:eastAsia="Arial" w:hAnsi="Arial"/>
                <w:sz w:val="17"/>
                <w:szCs w:val="17"/>
                <w:color w:val="auto"/>
              </w:rPr>
              <w:t>Operating income, as adjusted</w:t>
            </w:r>
          </w:p>
        </w:tc>
        <w:tc>
          <w:tcPr>
            <w:tcW w:w="3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ind w:right="55"/>
              <w:spacing w:after="0" w:line="169" w:lineRule="exact"/>
              <w:rPr>
                <w:sz w:val="20"/>
                <w:szCs w:val="20"/>
                <w:color w:val="auto"/>
              </w:rPr>
            </w:pPr>
            <w:r>
              <w:rPr>
                <w:rFonts w:ascii="Arial" w:cs="Arial" w:eastAsia="Arial" w:hAnsi="Arial"/>
                <w:sz w:val="17"/>
                <w:szCs w:val="17"/>
                <w:color w:val="auto"/>
              </w:rPr>
              <w:t>12,799</w:t>
            </w:r>
          </w:p>
        </w:tc>
        <w:tc>
          <w:tcPr>
            <w:tcW w:w="180" w:type="dxa"/>
            <w:vAlign w:val="bottom"/>
          </w:tcPr>
          <w:p>
            <w:pPr>
              <w:spacing w:after="0"/>
              <w:rPr>
                <w:sz w:val="15"/>
                <w:szCs w:val="15"/>
                <w:color w:val="auto"/>
              </w:rPr>
            </w:pPr>
          </w:p>
        </w:tc>
        <w:tc>
          <w:tcPr>
            <w:tcW w:w="500" w:type="dxa"/>
            <w:vAlign w:val="bottom"/>
            <w:tcBorders>
              <w:bottom w:val="single" w:sz="8" w:color="auto"/>
            </w:tcBorders>
            <w:gridSpan w:val="2"/>
          </w:tcPr>
          <w:p>
            <w:pPr>
              <w:jc w:val="right"/>
              <w:ind w:right="420"/>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21,108</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34,673</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53,412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8"/>
        <w:spacing w:after="0" w:line="205" w:lineRule="auto"/>
        <w:tabs>
          <w:tab w:leader="none" w:pos="199"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Operating expenses include amortization of acquired intangibles, selling, general and administrative expenses, goodwill impairment, long-lived asset and intangibles impairment and productivity and transformation costs.</w:t>
      </w:r>
    </w:p>
    <w:p>
      <w:pPr>
        <w:spacing w:after="0" w:line="1" w:lineRule="exact"/>
        <w:rPr>
          <w:rFonts w:ascii="Arial" w:cs="Arial" w:eastAsia="Arial" w:hAnsi="Arial"/>
          <w:sz w:val="23"/>
          <w:szCs w:val="23"/>
          <w:color w:val="auto"/>
          <w:vertAlign w:val="superscript"/>
        </w:rPr>
      </w:pPr>
    </w:p>
    <w:p>
      <w:pPr>
        <w:ind w:left="200" w:hanging="192"/>
        <w:spacing w:after="0" w:line="187" w:lineRule="auto"/>
        <w:tabs>
          <w:tab w:leader="none" w:pos="20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Expenses and items relating to securities class action, baby food litigation and SEC investigation.</w:t>
      </w:r>
    </w:p>
    <w:p>
      <w:pPr>
        <w:ind w:right="140" w:firstLine="8"/>
        <w:spacing w:after="0" w:line="218" w:lineRule="auto"/>
        <w:tabs>
          <w:tab w:leader="none" w:pos="181"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Represents a receivable under the Company's representation and warranty insurance related to one of its prior acquisitions, which was collected on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2173605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center"/>
        <w:ind w:right="220"/>
        <w:spacing w:after="0" w:line="266" w:lineRule="auto"/>
        <w:rPr>
          <w:sz w:val="20"/>
          <w:szCs w:val="20"/>
          <w:color w:val="auto"/>
        </w:rPr>
      </w:pPr>
      <w:r>
        <w:rPr>
          <w:rFonts w:ascii="Arial" w:cs="Arial" w:eastAsia="Arial" w:hAnsi="Arial"/>
          <w:sz w:val="16"/>
          <w:szCs w:val="16"/>
          <w:b w:val="1"/>
          <w:bCs w:val="1"/>
          <w:color w:val="auto"/>
        </w:rPr>
        <w:t xml:space="preserve">THE HAIN CELESTIAL GROUP, INC. AND SUBSIDIARIES Adjusted Net (Loss) Income and Adjusted Net (Loss) Income per Diluted Share </w:t>
      </w:r>
      <w:r>
        <w:rPr>
          <w:rFonts w:ascii="Arial" w:cs="Arial" w:eastAsia="Arial" w:hAnsi="Arial"/>
          <w:sz w:val="16"/>
          <w:szCs w:val="16"/>
          <w:color w:val="auto"/>
        </w:rPr>
        <w:t>(unaudited and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gridSpan w:val="4"/>
          </w:tcPr>
          <w:p>
            <w:pPr>
              <w:spacing w:after="0"/>
              <w:rPr>
                <w:sz w:val="20"/>
                <w:szCs w:val="20"/>
                <w:color w:val="auto"/>
              </w:rPr>
            </w:pPr>
            <w:r>
              <w:rPr>
                <w:rFonts w:ascii="Arial" w:cs="Arial" w:eastAsia="Arial" w:hAnsi="Arial"/>
                <w:sz w:val="16"/>
                <w:szCs w:val="16"/>
                <w:color w:val="auto"/>
              </w:rPr>
              <w:t>Reconciliation of Net Loss, GAAP to Net (Loss) Income, as Adjusted:</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Third Quarter</w:t>
            </w:r>
          </w:p>
        </w:tc>
        <w:tc>
          <w:tcPr>
            <w:tcW w:w="1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Third Quarter Year to Date</w:t>
            </w:r>
          </w:p>
        </w:tc>
        <w:tc>
          <w:tcPr>
            <w:tcW w:w="0" w:type="dxa"/>
            <w:vAlign w:val="bottom"/>
          </w:tcPr>
          <w:p>
            <w:pPr>
              <w:spacing w:after="0"/>
              <w:rPr>
                <w:sz w:val="1"/>
                <w:szCs w:val="1"/>
                <w:color w:val="auto"/>
              </w:rPr>
            </w:pPr>
          </w:p>
        </w:tc>
      </w:tr>
      <w:tr>
        <w:trPr>
          <w:trHeight w:val="183"/>
        </w:trPr>
        <w:tc>
          <w:tcPr>
            <w:tcW w:w="3820" w:type="dxa"/>
            <w:vAlign w:val="bottom"/>
            <w:vMerge w:val="restart"/>
          </w:tcPr>
          <w:p>
            <w:pPr>
              <w:spacing w:after="0"/>
              <w:rPr>
                <w:sz w:val="20"/>
                <w:szCs w:val="20"/>
                <w:color w:val="auto"/>
              </w:rPr>
            </w:pPr>
            <w:r>
              <w:rPr>
                <w:rFonts w:ascii="Arial" w:cs="Arial" w:eastAsia="Arial" w:hAnsi="Arial"/>
                <w:sz w:val="16"/>
                <w:szCs w:val="16"/>
                <w:color w:val="auto"/>
              </w:rPr>
              <w:t>Net loss, GAAP</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1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9"/>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340" w:type="dxa"/>
            <w:vAlign w:val="bottom"/>
          </w:tcPr>
          <w:p>
            <w:pPr>
              <w:jc w:val="right"/>
              <w:ind w:right="159"/>
              <w:spacing w:after="0" w:line="171" w:lineRule="exact"/>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79"/>
              <w:spacing w:after="0" w:line="171" w:lineRule="exact"/>
              <w:rPr>
                <w:sz w:val="20"/>
                <w:szCs w:val="20"/>
                <w:color w:val="auto"/>
              </w:rPr>
            </w:pPr>
            <w:r>
              <w:rPr>
                <w:rFonts w:ascii="Arial" w:cs="Arial" w:eastAsia="Arial" w:hAnsi="Arial"/>
                <w:sz w:val="16"/>
                <w:szCs w:val="16"/>
                <w:color w:val="auto"/>
              </w:rPr>
              <w:t>(106,343)</w:t>
            </w:r>
          </w:p>
        </w:tc>
        <w:tc>
          <w:tcPr>
            <w:tcW w:w="160" w:type="dxa"/>
            <w:vAlign w:val="bottom"/>
          </w:tcPr>
          <w:p>
            <w:pPr>
              <w:spacing w:after="0"/>
              <w:rPr>
                <w:sz w:val="14"/>
                <w:szCs w:val="14"/>
                <w:color w:val="auto"/>
              </w:rPr>
            </w:pPr>
          </w:p>
        </w:tc>
        <w:tc>
          <w:tcPr>
            <w:tcW w:w="460" w:type="dxa"/>
            <w:vAlign w:val="bottom"/>
          </w:tcPr>
          <w:p>
            <w:pPr>
              <w:jc w:val="right"/>
              <w:ind w:right="304"/>
              <w:spacing w:after="0" w:line="171"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ind w:right="79"/>
              <w:spacing w:after="0" w:line="171" w:lineRule="exact"/>
              <w:rPr>
                <w:sz w:val="20"/>
                <w:szCs w:val="20"/>
                <w:color w:val="auto"/>
              </w:rPr>
            </w:pPr>
            <w:r>
              <w:rPr>
                <w:rFonts w:ascii="Arial" w:cs="Arial" w:eastAsia="Arial" w:hAnsi="Arial"/>
                <w:sz w:val="16"/>
                <w:szCs w:val="16"/>
                <w:color w:val="auto"/>
              </w:rPr>
              <w:t>(134,588)</w:t>
            </w:r>
          </w:p>
        </w:tc>
        <w:tc>
          <w:tcPr>
            <w:tcW w:w="140" w:type="dxa"/>
            <w:vAlign w:val="bottom"/>
          </w:tcPr>
          <w:p>
            <w:pPr>
              <w:spacing w:after="0"/>
              <w:rPr>
                <w:sz w:val="14"/>
                <w:szCs w:val="14"/>
                <w:color w:val="auto"/>
              </w:rPr>
            </w:pPr>
          </w:p>
        </w:tc>
        <w:tc>
          <w:tcPr>
            <w:tcW w:w="340" w:type="dxa"/>
            <w:vAlign w:val="bottom"/>
          </w:tcPr>
          <w:p>
            <w:pPr>
              <w:jc w:val="right"/>
              <w:ind w:right="159"/>
              <w:spacing w:after="0" w:line="171"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line="171" w:lineRule="exact"/>
              <w:rPr>
                <w:sz w:val="20"/>
                <w:szCs w:val="20"/>
                <w:color w:val="auto"/>
              </w:rPr>
            </w:pPr>
            <w:r>
              <w:rPr>
                <w:rFonts w:ascii="Arial" w:cs="Arial" w:eastAsia="Arial" w:hAnsi="Arial"/>
                <w:sz w:val="16"/>
                <w:szCs w:val="16"/>
                <w:color w:val="auto"/>
              </w:rPr>
              <w:t>(242,974)</w:t>
            </w:r>
          </w:p>
        </w:tc>
        <w:tc>
          <w:tcPr>
            <w:tcW w:w="160" w:type="dxa"/>
            <w:vAlign w:val="bottom"/>
          </w:tcPr>
          <w:p>
            <w:pPr>
              <w:spacing w:after="0"/>
              <w:rPr>
                <w:sz w:val="14"/>
                <w:szCs w:val="14"/>
                <w:color w:val="auto"/>
              </w:rPr>
            </w:pPr>
          </w:p>
        </w:tc>
        <w:tc>
          <w:tcPr>
            <w:tcW w:w="340" w:type="dxa"/>
            <w:vAlign w:val="bottom"/>
          </w:tcPr>
          <w:p>
            <w:pPr>
              <w:jc w:val="right"/>
              <w:ind w:right="18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tcPr>
          <w:p>
            <w:pPr>
              <w:jc w:val="right"/>
              <w:ind w:right="79"/>
              <w:spacing w:after="0" w:line="171" w:lineRule="exact"/>
              <w:rPr>
                <w:sz w:val="20"/>
                <w:szCs w:val="20"/>
                <w:color w:val="auto"/>
              </w:rPr>
            </w:pPr>
            <w:r>
              <w:rPr>
                <w:rFonts w:ascii="Arial" w:cs="Arial" w:eastAsia="Arial" w:hAnsi="Arial"/>
                <w:sz w:val="16"/>
                <w:szCs w:val="16"/>
                <w:color w:val="auto"/>
              </w:rPr>
              <w:t>(258,226)</w:t>
            </w:r>
          </w:p>
        </w:tc>
        <w:tc>
          <w:tcPr>
            <w:tcW w:w="0" w:type="dxa"/>
            <w:vAlign w:val="bottom"/>
          </w:tcPr>
          <w:p>
            <w:pPr>
              <w:spacing w:after="0"/>
              <w:rPr>
                <w:sz w:val="1"/>
                <w:szCs w:val="1"/>
                <w:color w:val="auto"/>
              </w:rPr>
            </w:pPr>
          </w:p>
        </w:tc>
      </w:tr>
      <w:tr>
        <w:trPr>
          <w:trHeight w:val="187"/>
        </w:trPr>
        <w:tc>
          <w:tcPr>
            <w:tcW w:w="3820" w:type="dxa"/>
            <w:vAlign w:val="bottom"/>
          </w:tcPr>
          <w:p>
            <w:pPr>
              <w:ind w:left="60"/>
              <w:spacing w:after="0"/>
              <w:rPr>
                <w:sz w:val="20"/>
                <w:szCs w:val="20"/>
                <w:color w:val="auto"/>
              </w:rPr>
            </w:pPr>
            <w:r>
              <w:rPr>
                <w:rFonts w:ascii="Arial" w:cs="Arial" w:eastAsia="Arial" w:hAnsi="Arial"/>
                <w:sz w:val="16"/>
                <w:szCs w:val="16"/>
                <w:i w:val="1"/>
                <w:iCs w:val="1"/>
                <w:color w:val="auto"/>
              </w:rPr>
              <w:t>Adjustments to Cost of sales: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color w:val="auto"/>
              </w:rPr>
              <w:t>Plant closure related costs, net</w:t>
            </w:r>
          </w:p>
        </w:tc>
        <w:tc>
          <w:tcPr>
            <w:tcW w:w="340" w:type="dxa"/>
            <w:vAlign w:val="bottom"/>
          </w:tcPr>
          <w:p>
            <w:pPr>
              <w:spacing w:after="0"/>
              <w:rPr>
                <w:sz w:val="16"/>
                <w:szCs w:val="16"/>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594</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208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4,802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color w:val="auto"/>
              </w:rPr>
              <w:t>Warehouse/manufacturing consolidation and other</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00"/>
              <w:spacing w:after="0"/>
              <w:rPr>
                <w:sz w:val="20"/>
                <w:szCs w:val="20"/>
                <w:color w:val="auto"/>
              </w:rPr>
            </w:pPr>
            <w:r>
              <w:rPr>
                <w:rFonts w:ascii="Arial" w:cs="Arial" w:eastAsia="Arial" w:hAnsi="Arial"/>
                <w:sz w:val="16"/>
                <w:szCs w:val="16"/>
                <w:color w:val="auto"/>
              </w:rPr>
              <w:t>costs, net</w:t>
            </w:r>
          </w:p>
        </w:tc>
        <w:tc>
          <w:tcPr>
            <w:tcW w:w="3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384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52"/>
        </w:trPr>
        <w:tc>
          <w:tcPr>
            <w:tcW w:w="3820" w:type="dxa"/>
            <w:vAlign w:val="bottom"/>
          </w:tcPr>
          <w:p>
            <w:pPr>
              <w:ind w:left="60"/>
              <w:spacing w:after="0"/>
              <w:rPr>
                <w:sz w:val="20"/>
                <w:szCs w:val="20"/>
                <w:color w:val="auto"/>
              </w:rPr>
            </w:pPr>
            <w:r>
              <w:rPr>
                <w:rFonts w:ascii="Arial" w:cs="Arial" w:eastAsia="Arial" w:hAnsi="Arial"/>
                <w:sz w:val="16"/>
                <w:szCs w:val="16"/>
                <w:i w:val="1"/>
                <w:iCs w:val="1"/>
                <w:color w:val="auto"/>
              </w:rPr>
              <w:t>Adjustments to Operating expenses</w:t>
            </w:r>
            <w:r>
              <w:rPr>
                <w:rFonts w:ascii="Arial" w:cs="Arial" w:eastAsia="Arial" w:hAnsi="Arial"/>
                <w:sz w:val="21"/>
                <w:szCs w:val="21"/>
                <w:i w:val="1"/>
                <w:iCs w:val="1"/>
                <w:color w:val="auto"/>
                <w:vertAlign w:val="superscript"/>
              </w:rPr>
              <w:t>(a)</w:t>
            </w:r>
            <w:r>
              <w:rPr>
                <w:rFonts w:ascii="Arial" w:cs="Arial" w:eastAsia="Arial" w:hAnsi="Arial"/>
                <w:sz w:val="16"/>
                <w:szCs w:val="16"/>
                <w:i w:val="1"/>
                <w:iCs w:val="1"/>
                <w:color w:val="auto"/>
              </w:rPr>
              <w: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color w:val="auto"/>
              </w:rPr>
              <w:t>Goodwill impairment</w:t>
            </w:r>
          </w:p>
        </w:tc>
        <w:tc>
          <w:tcPr>
            <w:tcW w:w="340" w:type="dxa"/>
            <w:vAlign w:val="bottom"/>
          </w:tcPr>
          <w:p>
            <w:pPr>
              <w:spacing w:after="0"/>
              <w:rPr>
                <w:sz w:val="16"/>
                <w:szCs w:val="16"/>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31,018</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110,251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150,926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201,518</w:t>
            </w:r>
          </w:p>
        </w:tc>
        <w:tc>
          <w:tcPr>
            <w:tcW w:w="0" w:type="dxa"/>
            <w:vAlign w:val="bottom"/>
          </w:tcPr>
          <w:p>
            <w:pPr>
              <w:spacing w:after="0"/>
              <w:rPr>
                <w:sz w:val="1"/>
                <w:szCs w:val="1"/>
                <w:color w:val="auto"/>
              </w:rPr>
            </w:pP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color w:val="auto"/>
              </w:rPr>
              <w:t>Long-lived asset and intangibles impairment</w:t>
            </w:r>
          </w:p>
        </w:tc>
        <w:tc>
          <w:tcPr>
            <w:tcW w:w="340" w:type="dxa"/>
            <w:vAlign w:val="bottom"/>
          </w:tcPr>
          <w:p>
            <w:pPr>
              <w:spacing w:after="0"/>
              <w:rPr>
                <w:sz w:val="16"/>
                <w:szCs w:val="16"/>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15,047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24,012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26,964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42,029</w:t>
            </w:r>
          </w:p>
        </w:tc>
        <w:tc>
          <w:tcPr>
            <w:tcW w:w="0" w:type="dxa"/>
            <w:vAlign w:val="bottom"/>
          </w:tcPr>
          <w:p>
            <w:pPr>
              <w:spacing w:after="0"/>
              <w:rPr>
                <w:sz w:val="1"/>
                <w:szCs w:val="1"/>
                <w:color w:val="auto"/>
              </w:rPr>
            </w:pPr>
          </w:p>
        </w:tc>
      </w:tr>
      <w:tr>
        <w:trPr>
          <w:trHeight w:val="163"/>
        </w:trPr>
        <w:tc>
          <w:tcPr>
            <w:tcW w:w="3820" w:type="dxa"/>
            <w:vAlign w:val="bottom"/>
          </w:tcPr>
          <w:p>
            <w:pPr>
              <w:ind w:left="100"/>
              <w:spacing w:after="0" w:line="163" w:lineRule="exact"/>
              <w:rPr>
                <w:sz w:val="20"/>
                <w:szCs w:val="20"/>
                <w:color w:val="auto"/>
              </w:rPr>
            </w:pPr>
            <w:r>
              <w:rPr>
                <w:rFonts w:ascii="Arial" w:cs="Arial" w:eastAsia="Arial" w:hAnsi="Arial"/>
                <w:sz w:val="16"/>
                <w:szCs w:val="16"/>
                <w:color w:val="auto"/>
              </w:rPr>
              <w:t>Productivity and transformation costs</w:t>
            </w:r>
          </w:p>
        </w:tc>
        <w:tc>
          <w:tcPr>
            <w:tcW w:w="340" w:type="dxa"/>
            <w:vAlign w:val="bottom"/>
          </w:tcPr>
          <w:p>
            <w:pPr>
              <w:spacing w:after="0"/>
              <w:rPr>
                <w:sz w:val="14"/>
                <w:szCs w:val="14"/>
                <w:color w:val="auto"/>
              </w:rPr>
            </w:pPr>
          </w:p>
        </w:tc>
        <w:tc>
          <w:tcPr>
            <w:tcW w:w="1400" w:type="dxa"/>
            <w:vAlign w:val="bottom"/>
            <w:gridSpan w:val="2"/>
          </w:tcPr>
          <w:p>
            <w:pPr>
              <w:jc w:val="right"/>
              <w:ind w:right="139"/>
              <w:spacing w:after="0" w:line="163" w:lineRule="exact"/>
              <w:rPr>
                <w:sz w:val="20"/>
                <w:szCs w:val="20"/>
                <w:color w:val="auto"/>
              </w:rPr>
            </w:pPr>
            <w:r>
              <w:rPr>
                <w:rFonts w:ascii="Arial" w:cs="Arial" w:eastAsia="Arial" w:hAnsi="Arial"/>
                <w:sz w:val="16"/>
                <w:szCs w:val="16"/>
                <w:color w:val="auto"/>
              </w:rPr>
              <w:t>4,066</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jc w:val="right"/>
              <w:ind w:right="139"/>
              <w:spacing w:after="0" w:line="163" w:lineRule="exact"/>
              <w:rPr>
                <w:sz w:val="20"/>
                <w:szCs w:val="20"/>
                <w:color w:val="auto"/>
              </w:rPr>
            </w:pPr>
            <w:r>
              <w:rPr>
                <w:rFonts w:ascii="Arial" w:cs="Arial" w:eastAsia="Arial" w:hAnsi="Arial"/>
                <w:sz w:val="16"/>
                <w:szCs w:val="16"/>
                <w:color w:val="auto"/>
              </w:rPr>
              <w:t>7,289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139"/>
              <w:spacing w:after="0" w:line="163" w:lineRule="exact"/>
              <w:rPr>
                <w:sz w:val="20"/>
                <w:szCs w:val="20"/>
                <w:color w:val="auto"/>
              </w:rPr>
            </w:pPr>
            <w:r>
              <w:rPr>
                <w:rFonts w:ascii="Arial" w:cs="Arial" w:eastAsia="Arial" w:hAnsi="Arial"/>
                <w:sz w:val="16"/>
                <w:szCs w:val="16"/>
                <w:color w:val="auto"/>
              </w:rPr>
              <w:t>17,519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139"/>
              <w:spacing w:after="0" w:line="163" w:lineRule="exact"/>
              <w:rPr>
                <w:sz w:val="20"/>
                <w:szCs w:val="20"/>
                <w:color w:val="auto"/>
              </w:rPr>
            </w:pPr>
            <w:r>
              <w:rPr>
                <w:rFonts w:ascii="Arial" w:cs="Arial" w:eastAsia="Arial" w:hAnsi="Arial"/>
                <w:sz w:val="16"/>
                <w:szCs w:val="16"/>
                <w:color w:val="auto"/>
              </w:rPr>
              <w:t>16,497</w:t>
            </w:r>
          </w:p>
        </w:tc>
        <w:tc>
          <w:tcPr>
            <w:tcW w:w="0" w:type="dxa"/>
            <w:vAlign w:val="bottom"/>
          </w:tcPr>
          <w:p>
            <w:pPr>
              <w:spacing w:after="0"/>
              <w:rPr>
                <w:sz w:val="1"/>
                <w:szCs w:val="1"/>
                <w:color w:val="auto"/>
              </w:rPr>
            </w:pPr>
          </w:p>
        </w:tc>
      </w:tr>
      <w:tr>
        <w:trPr>
          <w:trHeight w:val="215"/>
        </w:trPr>
        <w:tc>
          <w:tcPr>
            <w:tcW w:w="3820" w:type="dxa"/>
            <w:vAlign w:val="bottom"/>
          </w:tcPr>
          <w:p>
            <w:pPr>
              <w:ind w:left="100"/>
              <w:spacing w:after="0" w:line="216" w:lineRule="exact"/>
              <w:rPr>
                <w:sz w:val="20"/>
                <w:szCs w:val="20"/>
                <w:color w:val="auto"/>
              </w:rPr>
            </w:pPr>
            <w:r>
              <w:rPr>
                <w:rFonts w:ascii="Arial" w:cs="Arial" w:eastAsia="Arial" w:hAnsi="Arial"/>
                <w:sz w:val="16"/>
                <w:szCs w:val="16"/>
                <w:color w:val="auto"/>
              </w:rPr>
              <w:t>Certain litigation expenses, net</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2,519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3,164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color w:val="auto"/>
              </w:rPr>
              <w:t>Transaction and integration costs, net</w:t>
            </w:r>
          </w:p>
        </w:tc>
        <w:tc>
          <w:tcPr>
            <w:tcW w:w="340" w:type="dxa"/>
            <w:vAlign w:val="bottom"/>
          </w:tcPr>
          <w:p>
            <w:pPr>
              <w:spacing w:after="0"/>
              <w:rPr>
                <w:sz w:val="16"/>
                <w:szCs w:val="16"/>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1,553</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4,735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163"/>
        </w:trPr>
        <w:tc>
          <w:tcPr>
            <w:tcW w:w="3820" w:type="dxa"/>
            <w:vAlign w:val="bottom"/>
          </w:tcPr>
          <w:p>
            <w:pPr>
              <w:ind w:left="100"/>
              <w:spacing w:after="0" w:line="163" w:lineRule="exact"/>
              <w:rPr>
                <w:sz w:val="20"/>
                <w:szCs w:val="20"/>
                <w:color w:val="auto"/>
              </w:rPr>
            </w:pPr>
            <w:r>
              <w:rPr>
                <w:rFonts w:ascii="Arial" w:cs="Arial" w:eastAsia="Arial" w:hAnsi="Arial"/>
                <w:sz w:val="16"/>
                <w:szCs w:val="16"/>
                <w:color w:val="auto"/>
              </w:rPr>
              <w:t>Plant closure related costs, net</w:t>
            </w:r>
          </w:p>
        </w:tc>
        <w:tc>
          <w:tcPr>
            <w:tcW w:w="340" w:type="dxa"/>
            <w:vAlign w:val="bottom"/>
          </w:tcPr>
          <w:p>
            <w:pPr>
              <w:spacing w:after="0"/>
              <w:rPr>
                <w:sz w:val="14"/>
                <w:szCs w:val="14"/>
                <w:color w:val="auto"/>
              </w:rPr>
            </w:pPr>
          </w:p>
        </w:tc>
        <w:tc>
          <w:tcPr>
            <w:tcW w:w="1400" w:type="dxa"/>
            <w:vAlign w:val="bottom"/>
            <w:gridSpan w:val="2"/>
          </w:tcPr>
          <w:p>
            <w:pPr>
              <w:jc w:val="right"/>
              <w:ind w:right="139"/>
              <w:spacing w:after="0" w:line="163" w:lineRule="exact"/>
              <w:rPr>
                <w:sz w:val="20"/>
                <w:szCs w:val="20"/>
                <w:color w:val="auto"/>
              </w:rPr>
            </w:pPr>
            <w:r>
              <w:rPr>
                <w:rFonts w:ascii="Arial" w:cs="Arial" w:eastAsia="Arial" w:hAnsi="Arial"/>
                <w:sz w:val="16"/>
                <w:szCs w:val="16"/>
                <w:color w:val="auto"/>
              </w:rPr>
              <w:t>133</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jc w:val="right"/>
              <w:ind w:right="79"/>
              <w:spacing w:after="0" w:line="163" w:lineRule="exact"/>
              <w:rPr>
                <w:sz w:val="20"/>
                <w:szCs w:val="20"/>
                <w:color w:val="auto"/>
              </w:rPr>
            </w:pPr>
            <w:r>
              <w:rPr>
                <w:rFonts w:ascii="Arial" w:cs="Arial" w:eastAsia="Arial" w:hAnsi="Arial"/>
                <w:sz w:val="16"/>
                <w:szCs w:val="16"/>
                <w:color w:val="auto"/>
              </w:rPr>
              <w:t>(213)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139"/>
              <w:spacing w:after="0" w:line="163" w:lineRule="exact"/>
              <w:rPr>
                <w:sz w:val="20"/>
                <w:szCs w:val="20"/>
                <w:color w:val="auto"/>
              </w:rPr>
            </w:pPr>
            <w:r>
              <w:rPr>
                <w:rFonts w:ascii="Arial" w:cs="Arial" w:eastAsia="Arial" w:hAnsi="Arial"/>
                <w:sz w:val="16"/>
                <w:szCs w:val="16"/>
                <w:color w:val="auto"/>
              </w:rPr>
              <w:t>281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79"/>
              <w:spacing w:after="0" w:line="163" w:lineRule="exact"/>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90"/>
        </w:trPr>
        <w:tc>
          <w:tcPr>
            <w:tcW w:w="3820" w:type="dxa"/>
            <w:vAlign w:val="bottom"/>
          </w:tcPr>
          <w:p>
            <w:pPr>
              <w:ind w:left="100"/>
              <w:spacing w:after="0"/>
              <w:rPr>
                <w:sz w:val="20"/>
                <w:szCs w:val="20"/>
                <w:color w:val="auto"/>
              </w:rPr>
            </w:pPr>
            <w:r>
              <w:rPr>
                <w:rFonts w:ascii="Arial" w:cs="Arial" w:eastAsia="Arial" w:hAnsi="Arial"/>
                <w:sz w:val="16"/>
                <w:szCs w:val="16"/>
                <w:color w:val="auto"/>
              </w:rPr>
              <w:t>Proceeds from insurance claim</w:t>
            </w:r>
            <w:r>
              <w:rPr>
                <w:rFonts w:ascii="Arial" w:cs="Arial" w:eastAsia="Arial" w:hAnsi="Arial"/>
                <w:sz w:val="21"/>
                <w:szCs w:val="21"/>
                <w:color w:val="auto"/>
                <w:vertAlign w:val="superscript"/>
              </w:rPr>
              <w:t>(c)</w:t>
            </w:r>
          </w:p>
        </w:tc>
        <w:tc>
          <w:tcPr>
            <w:tcW w:w="340" w:type="dxa"/>
            <w:vAlign w:val="bottom"/>
          </w:tcPr>
          <w:p>
            <w:pPr>
              <w:spacing w:after="0"/>
              <w:rPr>
                <w:sz w:val="24"/>
                <w:szCs w:val="24"/>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(25,900)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4"/>
        </w:trPr>
        <w:tc>
          <w:tcPr>
            <w:tcW w:w="3820" w:type="dxa"/>
            <w:vAlign w:val="bottom"/>
          </w:tcPr>
          <w:p>
            <w:pPr>
              <w:ind w:left="60"/>
              <w:spacing w:after="0"/>
              <w:rPr>
                <w:sz w:val="20"/>
                <w:szCs w:val="20"/>
                <w:color w:val="auto"/>
              </w:rPr>
            </w:pPr>
            <w:r>
              <w:rPr>
                <w:rFonts w:ascii="Arial" w:cs="Arial" w:eastAsia="Arial" w:hAnsi="Arial"/>
                <w:sz w:val="16"/>
                <w:szCs w:val="16"/>
                <w:i w:val="1"/>
                <w:iCs w:val="1"/>
                <w:color w:val="auto"/>
              </w:rPr>
              <w:t>Adjustments to Interest and other expense, net</w:t>
            </w:r>
            <w:r>
              <w:rPr>
                <w:rFonts w:ascii="Arial" w:cs="Arial" w:eastAsia="Arial" w:hAnsi="Arial"/>
                <w:sz w:val="21"/>
                <w:szCs w:val="21"/>
                <w:i w:val="1"/>
                <w:iCs w:val="1"/>
                <w:color w:val="auto"/>
                <w:vertAlign w:val="superscript"/>
              </w:rPr>
              <w:t>(d)</w:t>
            </w:r>
            <w:r>
              <w:rPr>
                <w:rFonts w:ascii="Arial" w:cs="Arial" w:eastAsia="Arial" w:hAnsi="Arial"/>
                <w:sz w:val="16"/>
                <w:szCs w:val="16"/>
                <w:i w:val="1"/>
                <w:iCs w:val="1"/>
                <w:color w:val="auto"/>
              </w:rPr>
              <w: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color w:val="auto"/>
              </w:rPr>
              <w:t>Loss (gain) on sale of assets</w:t>
            </w:r>
          </w:p>
        </w:tc>
        <w:tc>
          <w:tcPr>
            <w:tcW w:w="340" w:type="dxa"/>
            <w:vAlign w:val="bottom"/>
          </w:tcPr>
          <w:p>
            <w:pPr>
              <w:spacing w:after="0"/>
              <w:rPr>
                <w:sz w:val="16"/>
                <w:szCs w:val="16"/>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50,529</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48,501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215"/>
        </w:trPr>
        <w:tc>
          <w:tcPr>
            <w:tcW w:w="3820" w:type="dxa"/>
            <w:vAlign w:val="bottom"/>
          </w:tcPr>
          <w:p>
            <w:pPr>
              <w:ind w:left="100"/>
              <w:spacing w:after="0"/>
              <w:rPr>
                <w:sz w:val="20"/>
                <w:szCs w:val="20"/>
                <w:color w:val="auto"/>
              </w:rPr>
            </w:pPr>
            <w:r>
              <w:rPr>
                <w:rFonts w:ascii="Arial" w:cs="Arial" w:eastAsia="Arial" w:hAnsi="Arial"/>
                <w:sz w:val="16"/>
                <w:szCs w:val="16"/>
                <w:color w:val="auto"/>
              </w:rPr>
              <w:t>Unrealized currency losses</w:t>
            </w:r>
          </w:p>
        </w:tc>
        <w:tc>
          <w:tcPr>
            <w:tcW w:w="3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219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623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366"/>
        </w:trPr>
        <w:tc>
          <w:tcPr>
            <w:tcW w:w="3820" w:type="dxa"/>
            <w:vAlign w:val="bottom"/>
          </w:tcPr>
          <w:p>
            <w:pPr>
              <w:ind w:left="60"/>
              <w:spacing w:after="0"/>
              <w:rPr>
                <w:sz w:val="20"/>
                <w:szCs w:val="20"/>
                <w:color w:val="auto"/>
              </w:rPr>
            </w:pPr>
            <w:r>
              <w:rPr>
                <w:rFonts w:ascii="Arial" w:cs="Arial" w:eastAsia="Arial" w:hAnsi="Arial"/>
                <w:sz w:val="16"/>
                <w:szCs w:val="16"/>
                <w:i w:val="1"/>
                <w:iCs w:val="1"/>
                <w:color w:val="auto"/>
              </w:rPr>
              <w:t>Adjustments to Provision (benefit) for income taxes:</w:t>
            </w:r>
          </w:p>
        </w:tc>
        <w:tc>
          <w:tcPr>
            <w:tcW w:w="340" w:type="dxa"/>
            <w:vAlign w:val="bottom"/>
          </w:tcPr>
          <w:p>
            <w:pPr>
              <w:spacing w:after="0"/>
              <w:rPr>
                <w:sz w:val="24"/>
                <w:szCs w:val="2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(584)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(2,693)</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190"/>
        </w:trPr>
        <w:tc>
          <w:tcPr>
            <w:tcW w:w="3820" w:type="dxa"/>
            <w:vAlign w:val="bottom"/>
          </w:tcPr>
          <w:p>
            <w:pPr>
              <w:ind w:left="100"/>
              <w:spacing w:after="0"/>
              <w:rPr>
                <w:sz w:val="20"/>
                <w:szCs w:val="20"/>
                <w:color w:val="auto"/>
              </w:rPr>
            </w:pPr>
            <w:r>
              <w:rPr>
                <w:rFonts w:ascii="Arial" w:cs="Arial" w:eastAsia="Arial" w:hAnsi="Arial"/>
                <w:sz w:val="16"/>
                <w:szCs w:val="16"/>
                <w:color w:val="auto"/>
              </w:rPr>
              <w:t>Net tax impact of non-GAAP adjustments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line="169" w:lineRule="exact"/>
              <w:rPr>
                <w:sz w:val="20"/>
                <w:szCs w:val="20"/>
                <w:color w:val="auto"/>
              </w:rPr>
            </w:pPr>
            <w:r>
              <w:rPr>
                <w:rFonts w:ascii="Arial" w:cs="Arial" w:eastAsia="Arial" w:hAnsi="Arial"/>
                <w:sz w:val="16"/>
                <w:szCs w:val="16"/>
                <w:color w:val="auto"/>
              </w:rPr>
              <w:t>Net (loss) income, as adjusted</w:t>
            </w:r>
          </w:p>
        </w:tc>
        <w:tc>
          <w:tcPr>
            <w:tcW w:w="34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gridSpan w:val="2"/>
          </w:tcPr>
          <w:p>
            <w:pPr>
              <w:jc w:val="right"/>
              <w:ind w:right="79"/>
              <w:spacing w:after="0" w:line="169" w:lineRule="exact"/>
              <w:rPr>
                <w:sz w:val="20"/>
                <w:szCs w:val="20"/>
                <w:color w:val="auto"/>
              </w:rPr>
            </w:pPr>
            <w:r>
              <w:rPr>
                <w:rFonts w:ascii="Arial" w:cs="Arial" w:eastAsia="Arial" w:hAnsi="Arial"/>
                <w:sz w:val="16"/>
                <w:szCs w:val="16"/>
                <w:color w:val="auto"/>
              </w:rPr>
              <w:t>(1,249)</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6,055</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(11,226)</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9,753</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Net loss margin</w:t>
            </w: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(31.4)%</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(34.5)%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6"/>
                <w:szCs w:val="16"/>
                <w:color w:val="auto"/>
              </w:rPr>
              <w:t>(22.3)%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6"/>
                <w:szCs w:val="16"/>
                <w:color w:val="auto"/>
              </w:rPr>
              <w:t>Adjusted net (loss) income margin</w:t>
            </w:r>
          </w:p>
        </w:tc>
        <w:tc>
          <w:tcPr>
            <w:tcW w:w="3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52"/>
        </w:trPr>
        <w:tc>
          <w:tcPr>
            <w:tcW w:w="3820" w:type="dxa"/>
            <w:vAlign w:val="bottom"/>
          </w:tcPr>
          <w:p>
            <w:pPr>
              <w:spacing w:after="0"/>
              <w:rPr>
                <w:sz w:val="20"/>
                <w:szCs w:val="20"/>
                <w:color w:val="auto"/>
              </w:rPr>
            </w:pPr>
            <w:r>
              <w:rPr>
                <w:rFonts w:ascii="Arial" w:cs="Arial" w:eastAsia="Arial" w:hAnsi="Arial"/>
                <w:sz w:val="16"/>
                <w:szCs w:val="16"/>
                <w:color w:val="auto"/>
              </w:rPr>
              <w:t>Diluted shares used in the calculation of net loss per</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common share:</w:t>
            </w:r>
          </w:p>
        </w:tc>
        <w:tc>
          <w:tcPr>
            <w:tcW w:w="340" w:type="dxa"/>
            <w:vAlign w:val="bottom"/>
          </w:tcPr>
          <w:p>
            <w:pPr>
              <w:spacing w:after="0"/>
              <w:rPr>
                <w:sz w:val="16"/>
                <w:szCs w:val="16"/>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90,993</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90,247</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90,650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90,080</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Diluted shares used in the calculation of adjusted net</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6"/>
                <w:szCs w:val="16"/>
                <w:color w:val="auto"/>
              </w:rPr>
              <w:t>(loss) income per common share:</w:t>
            </w:r>
          </w:p>
        </w:tc>
        <w:tc>
          <w:tcPr>
            <w:tcW w:w="3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90,993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90,407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90,650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90,287</w:t>
            </w:r>
          </w:p>
        </w:tc>
        <w:tc>
          <w:tcPr>
            <w:tcW w:w="0" w:type="dxa"/>
            <w:vAlign w:val="bottom"/>
          </w:tcPr>
          <w:p>
            <w:pPr>
              <w:spacing w:after="0"/>
              <w:rPr>
                <w:sz w:val="1"/>
                <w:szCs w:val="1"/>
                <w:color w:val="auto"/>
              </w:rPr>
            </w:pPr>
          </w:p>
        </w:tc>
      </w:tr>
      <w:tr>
        <w:trPr>
          <w:trHeight w:val="352"/>
        </w:trPr>
        <w:tc>
          <w:tcPr>
            <w:tcW w:w="3820" w:type="dxa"/>
            <w:vAlign w:val="bottom"/>
          </w:tcPr>
          <w:p>
            <w:pPr>
              <w:spacing w:after="0"/>
              <w:rPr>
                <w:sz w:val="20"/>
                <w:szCs w:val="20"/>
                <w:color w:val="auto"/>
              </w:rPr>
            </w:pPr>
            <w:r>
              <w:rPr>
                <w:rFonts w:ascii="Arial" w:cs="Arial" w:eastAsia="Arial" w:hAnsi="Arial"/>
                <w:sz w:val="16"/>
                <w:szCs w:val="16"/>
                <w:color w:val="auto"/>
              </w:rPr>
              <w:t>Diluted net loss per common share, GAAP</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(1.17)</w:t>
            </w:r>
          </w:p>
        </w:tc>
        <w:tc>
          <w:tcPr>
            <w:tcW w:w="62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(1.49)</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(2.68)</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Diluted net (loss) income per common share, as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6"/>
                <w:szCs w:val="16"/>
                <w:color w:val="auto"/>
              </w:rPr>
              <w:t>adjusted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(0.01)</w:t>
            </w:r>
          </w:p>
        </w:tc>
        <w:tc>
          <w:tcPr>
            <w:tcW w:w="62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0.07</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(0.12)</w:t>
            </w: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240" w:firstLine="8"/>
        <w:spacing w:after="0" w:line="216" w:lineRule="auto"/>
        <w:tabs>
          <w:tab w:leader="none" w:pos="19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Operating expenses include amortization of acquired intangibles, selling, general and administrative expenses, goodwill impairment, long-lived asset and intangibles impairment and productivity and transformation costs.</w:t>
      </w:r>
    </w:p>
    <w:p>
      <w:pPr>
        <w:ind w:left="180" w:hanging="172"/>
        <w:spacing w:after="0" w:line="187"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Expenses and items relating to securities class action, baby food litigation and SEC investigation.</w:t>
      </w:r>
    </w:p>
    <w:p>
      <w:pPr>
        <w:ind w:right="240" w:firstLine="8"/>
        <w:spacing w:after="0" w:line="207" w:lineRule="auto"/>
        <w:tabs>
          <w:tab w:leader="none" w:pos="184"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Represents a receivable under the Company's representation and warranty insurance related to one of its prior acquisitions, which was collected on January 2, 2026.</w:t>
      </w:r>
    </w:p>
    <w:p>
      <w:pPr>
        <w:spacing w:after="0" w:line="1" w:lineRule="exact"/>
        <w:rPr>
          <w:rFonts w:ascii="Arial" w:cs="Arial" w:eastAsia="Arial" w:hAnsi="Arial"/>
          <w:sz w:val="22"/>
          <w:szCs w:val="22"/>
          <w:color w:val="auto"/>
          <w:vertAlign w:val="superscript"/>
        </w:rPr>
      </w:pPr>
    </w:p>
    <w:p>
      <w:pPr>
        <w:ind w:right="240" w:firstLine="8"/>
        <w:spacing w:after="0" w:line="224"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Interest and other expense, net includes interest and other financing expenses, net, loss (gain) on sale of assets, unrealized currency losses and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jc w:val="center"/>
        <w:ind w:right="24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Organic Net Sales Growth by Segment</w:t>
      </w:r>
    </w:p>
    <w:p>
      <w:pPr>
        <w:jc w:val="center"/>
        <w:ind w:right="24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80" w:type="dxa"/>
            <w:vAlign w:val="bottom"/>
          </w:tcPr>
          <w:p>
            <w:pPr>
              <w:spacing w:after="0"/>
              <w:rPr>
                <w:sz w:val="20"/>
                <w:szCs w:val="20"/>
                <w:color w:val="auto"/>
              </w:rPr>
            </w:pPr>
            <w:r>
              <w:rPr>
                <w:rFonts w:ascii="Arial" w:cs="Arial" w:eastAsia="Arial" w:hAnsi="Arial"/>
                <w:sz w:val="17"/>
                <w:szCs w:val="17"/>
                <w:b w:val="1"/>
                <w:bCs w:val="1"/>
                <w:color w:val="auto"/>
              </w:rPr>
              <w:t>Q3 FY26</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North America</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International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Hain Consolidated</w:t>
            </w:r>
          </w:p>
        </w:tc>
        <w:tc>
          <w:tcPr>
            <w:tcW w:w="0" w:type="dxa"/>
            <w:vAlign w:val="bottom"/>
          </w:tcPr>
          <w:p>
            <w:pPr>
              <w:spacing w:after="0"/>
              <w:rPr>
                <w:sz w:val="1"/>
                <w:szCs w:val="1"/>
                <w:color w:val="auto"/>
              </w:rPr>
            </w:pPr>
          </w:p>
        </w:tc>
      </w:tr>
      <w:tr>
        <w:trPr>
          <w:trHeight w:val="160"/>
        </w:trPr>
        <w:tc>
          <w:tcPr>
            <w:tcW w:w="4680" w:type="dxa"/>
            <w:vAlign w:val="bottom"/>
          </w:tcPr>
          <w:p>
            <w:pPr>
              <w:spacing w:after="0" w:line="160" w:lineRule="exact"/>
              <w:rPr>
                <w:sz w:val="20"/>
                <w:szCs w:val="20"/>
                <w:color w:val="auto"/>
              </w:rPr>
            </w:pPr>
            <w:r>
              <w:rPr>
                <w:rFonts w:ascii="Arial" w:cs="Arial" w:eastAsia="Arial" w:hAnsi="Arial"/>
                <w:sz w:val="17"/>
                <w:szCs w:val="17"/>
                <w:color w:val="auto"/>
              </w:rPr>
              <w:t>Net sales</w:t>
            </w:r>
          </w:p>
        </w:tc>
        <w:tc>
          <w:tcPr>
            <w:tcW w:w="200" w:type="dxa"/>
            <w:vAlign w:val="bottom"/>
          </w:tcPr>
          <w:p>
            <w:pPr>
              <w:jc w:val="right"/>
              <w:ind w:right="15"/>
              <w:spacing w:after="0" w:line="160" w:lineRule="exact"/>
              <w:rPr>
                <w:sz w:val="20"/>
                <w:szCs w:val="20"/>
                <w:color w:val="auto"/>
              </w:rPr>
            </w:pPr>
            <w:r>
              <w:rPr>
                <w:rFonts w:ascii="Arial" w:cs="Arial" w:eastAsia="Arial" w:hAnsi="Arial"/>
                <w:sz w:val="17"/>
                <w:szCs w:val="17"/>
                <w:color w:val="auto"/>
                <w:w w:val="84"/>
              </w:rPr>
              <w:t>$</w:t>
            </w:r>
          </w:p>
        </w:tc>
        <w:tc>
          <w:tcPr>
            <w:tcW w:w="1860" w:type="dxa"/>
            <w:vAlign w:val="bottom"/>
          </w:tcPr>
          <w:p>
            <w:pPr>
              <w:jc w:val="right"/>
              <w:ind w:right="175"/>
              <w:spacing w:after="0" w:line="160" w:lineRule="exact"/>
              <w:rPr>
                <w:sz w:val="20"/>
                <w:szCs w:val="20"/>
                <w:color w:val="auto"/>
              </w:rPr>
            </w:pPr>
            <w:r>
              <w:rPr>
                <w:rFonts w:ascii="Arial" w:cs="Arial" w:eastAsia="Arial" w:hAnsi="Arial"/>
                <w:sz w:val="17"/>
                <w:szCs w:val="17"/>
                <w:color w:val="auto"/>
              </w:rPr>
              <w:t>171,495</w:t>
            </w:r>
          </w:p>
        </w:tc>
        <w:tc>
          <w:tcPr>
            <w:tcW w:w="180" w:type="dxa"/>
            <w:vAlign w:val="bottom"/>
          </w:tcPr>
          <w:p>
            <w:pPr>
              <w:spacing w:after="0"/>
              <w:rPr>
                <w:sz w:val="13"/>
                <w:szCs w:val="13"/>
                <w:color w:val="auto"/>
              </w:rPr>
            </w:pPr>
          </w:p>
        </w:tc>
        <w:tc>
          <w:tcPr>
            <w:tcW w:w="240" w:type="dxa"/>
            <w:vAlign w:val="bottom"/>
          </w:tcPr>
          <w:p>
            <w:pPr>
              <w:jc w:val="right"/>
              <w:ind w:right="55"/>
              <w:spacing w:after="0" w:line="160" w:lineRule="exact"/>
              <w:rPr>
                <w:sz w:val="20"/>
                <w:szCs w:val="20"/>
                <w:color w:val="auto"/>
              </w:rPr>
            </w:pPr>
            <w:r>
              <w:rPr>
                <w:rFonts w:ascii="Arial" w:cs="Arial" w:eastAsia="Arial" w:hAnsi="Arial"/>
                <w:sz w:val="17"/>
                <w:szCs w:val="17"/>
                <w:color w:val="auto"/>
                <w:w w:val="84"/>
              </w:rPr>
              <w:t>$</w:t>
            </w:r>
          </w:p>
        </w:tc>
        <w:tc>
          <w:tcPr>
            <w:tcW w:w="1820" w:type="dxa"/>
            <w:vAlign w:val="bottom"/>
          </w:tcPr>
          <w:p>
            <w:pPr>
              <w:jc w:val="right"/>
              <w:ind w:right="155"/>
              <w:spacing w:after="0" w:line="160" w:lineRule="exact"/>
              <w:rPr>
                <w:sz w:val="20"/>
                <w:szCs w:val="20"/>
                <w:color w:val="auto"/>
              </w:rPr>
            </w:pPr>
            <w:r>
              <w:rPr>
                <w:rFonts w:ascii="Arial" w:cs="Arial" w:eastAsia="Arial" w:hAnsi="Arial"/>
                <w:sz w:val="17"/>
                <w:szCs w:val="17"/>
                <w:color w:val="auto"/>
              </w:rPr>
              <w:t>166,862</w:t>
            </w:r>
          </w:p>
        </w:tc>
        <w:tc>
          <w:tcPr>
            <w:tcW w:w="200" w:type="dxa"/>
            <w:vAlign w:val="bottom"/>
          </w:tcPr>
          <w:p>
            <w:pPr>
              <w:spacing w:after="0"/>
              <w:rPr>
                <w:sz w:val="13"/>
                <w:szCs w:val="13"/>
                <w:color w:val="auto"/>
              </w:rPr>
            </w:pPr>
          </w:p>
        </w:tc>
        <w:tc>
          <w:tcPr>
            <w:tcW w:w="120" w:type="dxa"/>
            <w:vAlign w:val="bottom"/>
          </w:tcPr>
          <w:p>
            <w:pPr>
              <w:jc w:val="right"/>
              <w:spacing w:after="0" w:line="161" w:lineRule="exact"/>
              <w:rPr>
                <w:sz w:val="20"/>
                <w:szCs w:val="20"/>
                <w:color w:val="auto"/>
              </w:rPr>
            </w:pPr>
            <w:r>
              <w:rPr>
                <w:rFonts w:ascii="Arial" w:cs="Arial" w:eastAsia="Arial" w:hAnsi="Arial"/>
                <w:sz w:val="15"/>
                <w:szCs w:val="15"/>
                <w:color w:val="auto"/>
                <w:w w:val="71"/>
              </w:rPr>
              <w:t>$</w:t>
            </w:r>
          </w:p>
        </w:tc>
        <w:tc>
          <w:tcPr>
            <w:tcW w:w="1940" w:type="dxa"/>
            <w:vAlign w:val="bottom"/>
          </w:tcPr>
          <w:p>
            <w:pPr>
              <w:jc w:val="right"/>
              <w:ind w:right="155"/>
              <w:spacing w:after="0" w:line="160" w:lineRule="exact"/>
              <w:rPr>
                <w:sz w:val="20"/>
                <w:szCs w:val="20"/>
                <w:color w:val="auto"/>
              </w:rPr>
            </w:pPr>
            <w:r>
              <w:rPr>
                <w:rFonts w:ascii="Arial" w:cs="Arial" w:eastAsia="Arial" w:hAnsi="Arial"/>
                <w:sz w:val="17"/>
                <w:szCs w:val="17"/>
                <w:color w:val="auto"/>
              </w:rPr>
              <w:t>338,357</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Less: Impact of divestitures, held for sale businesses,</w:t>
            </w: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discontinued brands and exited product categories</w:t>
            </w:r>
          </w:p>
        </w:tc>
        <w:tc>
          <w:tcPr>
            <w:tcW w:w="200" w:type="dxa"/>
            <w:vAlign w:val="bottom"/>
          </w:tcPr>
          <w:p>
            <w:pPr>
              <w:spacing w:after="0"/>
              <w:rPr>
                <w:sz w:val="16"/>
                <w:szCs w:val="16"/>
                <w:color w:val="auto"/>
              </w:rPr>
            </w:pPr>
          </w:p>
        </w:tc>
        <w:tc>
          <w:tcPr>
            <w:tcW w:w="18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57,493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872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58,365</w:t>
            </w:r>
          </w:p>
        </w:tc>
        <w:tc>
          <w:tcPr>
            <w:tcW w:w="0" w:type="dxa"/>
            <w:vAlign w:val="bottom"/>
          </w:tcPr>
          <w:p>
            <w:pPr>
              <w:spacing w:after="0"/>
              <w:rPr>
                <w:sz w:val="1"/>
                <w:szCs w:val="1"/>
                <w:color w:val="auto"/>
              </w:rPr>
            </w:pPr>
          </w:p>
        </w:tc>
      </w:tr>
      <w:tr>
        <w:trPr>
          <w:trHeight w:val="211"/>
        </w:trPr>
        <w:tc>
          <w:tcPr>
            <w:tcW w:w="4680" w:type="dxa"/>
            <w:vAlign w:val="bottom"/>
          </w:tcPr>
          <w:p>
            <w:pPr>
              <w:ind w:left="60"/>
              <w:spacing w:after="0"/>
              <w:rPr>
                <w:sz w:val="20"/>
                <w:szCs w:val="20"/>
                <w:color w:val="auto"/>
              </w:rPr>
            </w:pPr>
            <w:r>
              <w:rPr>
                <w:rFonts w:ascii="Arial" w:cs="Arial" w:eastAsia="Arial" w:hAnsi="Arial"/>
                <w:sz w:val="17"/>
                <w:szCs w:val="17"/>
                <w:color w:val="auto"/>
              </w:rPr>
              <w:t>Less: Impact of foreign currency exchange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282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12,244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12,526</w:t>
            </w:r>
          </w:p>
        </w:tc>
        <w:tc>
          <w:tcPr>
            <w:tcW w:w="0" w:type="dxa"/>
            <w:vAlign w:val="bottom"/>
          </w:tcPr>
          <w:p>
            <w:pPr>
              <w:spacing w:after="0"/>
              <w:rPr>
                <w:sz w:val="1"/>
                <w:szCs w:val="1"/>
                <w:color w:val="auto"/>
              </w:rPr>
            </w:pPr>
          </w:p>
        </w:tc>
      </w:tr>
      <w:tr>
        <w:trPr>
          <w:trHeight w:val="183"/>
        </w:trPr>
        <w:tc>
          <w:tcPr>
            <w:tcW w:w="4680" w:type="dxa"/>
            <w:vAlign w:val="bottom"/>
          </w:tcPr>
          <w:p>
            <w:pPr>
              <w:spacing w:after="0" w:line="169" w:lineRule="exact"/>
              <w:rPr>
                <w:sz w:val="20"/>
                <w:szCs w:val="20"/>
                <w:color w:val="auto"/>
              </w:rPr>
            </w:pPr>
            <w:r>
              <w:rPr>
                <w:rFonts w:ascii="Arial" w:cs="Arial" w:eastAsia="Arial" w:hAnsi="Arial"/>
                <w:sz w:val="17"/>
                <w:szCs w:val="17"/>
                <w:color w:val="auto"/>
              </w:rPr>
              <w:t>Organic net sales</w:t>
            </w:r>
          </w:p>
        </w:tc>
        <w:tc>
          <w:tcPr>
            <w:tcW w:w="20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rPr>
              <w:t>113,720</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55"/>
              <w:spacing w:after="0" w:line="169" w:lineRule="exact"/>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153,746</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267,466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7"/>
                <w:szCs w:val="17"/>
                <w:b w:val="1"/>
                <w:bCs w:val="1"/>
                <w:color w:val="auto"/>
              </w:rPr>
              <w:t>Q3 FY25</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7"/>
                <w:szCs w:val="17"/>
                <w:color w:val="auto"/>
              </w:rPr>
              <w:t>Net sales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8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222,407</w:t>
            </w:r>
          </w:p>
        </w:tc>
        <w:tc>
          <w:tcPr>
            <w:tcW w:w="42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8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167,944</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9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390,351</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Less: Impact of divestitures, held for sale businesses,</w:t>
            </w:r>
          </w:p>
        </w:tc>
        <w:tc>
          <w:tcPr>
            <w:tcW w:w="200" w:type="dxa"/>
            <w:vAlign w:val="bottom"/>
          </w:tcPr>
          <w:p>
            <w:pPr>
              <w:spacing w:after="0"/>
              <w:rPr>
                <w:sz w:val="16"/>
                <w:szCs w:val="16"/>
                <w:color w:val="auto"/>
              </w:rPr>
            </w:pPr>
          </w:p>
        </w:tc>
        <w:tc>
          <w:tcPr>
            <w:tcW w:w="1860" w:type="dxa"/>
            <w:vAlign w:val="bottom"/>
            <w:vMerge w:val="restart"/>
          </w:tcPr>
          <w:p>
            <w:pPr>
              <w:jc w:val="right"/>
              <w:ind w:right="175"/>
              <w:spacing w:after="0"/>
              <w:rPr>
                <w:sz w:val="20"/>
                <w:szCs w:val="20"/>
                <w:color w:val="auto"/>
              </w:rPr>
            </w:pPr>
            <w:r>
              <w:rPr>
                <w:rFonts w:ascii="Arial" w:cs="Arial" w:eastAsia="Arial" w:hAnsi="Arial"/>
                <w:sz w:val="17"/>
                <w:szCs w:val="17"/>
                <w:color w:val="auto"/>
              </w:rPr>
              <w:t>105,487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vMerge w:val="restart"/>
          </w:tcPr>
          <w:p>
            <w:pPr>
              <w:jc w:val="right"/>
              <w:ind w:right="155"/>
              <w:spacing w:after="0"/>
              <w:rPr>
                <w:sz w:val="20"/>
                <w:szCs w:val="20"/>
                <w:color w:val="auto"/>
              </w:rPr>
            </w:pPr>
            <w:r>
              <w:rPr>
                <w:rFonts w:ascii="Arial" w:cs="Arial" w:eastAsia="Arial" w:hAnsi="Arial"/>
                <w:sz w:val="17"/>
                <w:szCs w:val="17"/>
                <w:color w:val="auto"/>
              </w:rPr>
              <w:t>1,155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restart"/>
          </w:tcPr>
          <w:p>
            <w:pPr>
              <w:jc w:val="right"/>
              <w:ind w:right="155"/>
              <w:spacing w:after="0"/>
              <w:rPr>
                <w:sz w:val="20"/>
                <w:szCs w:val="20"/>
                <w:color w:val="auto"/>
              </w:rPr>
            </w:pPr>
            <w:r>
              <w:rPr>
                <w:rFonts w:ascii="Arial" w:cs="Arial" w:eastAsia="Arial" w:hAnsi="Arial"/>
                <w:sz w:val="17"/>
                <w:szCs w:val="17"/>
                <w:color w:val="auto"/>
              </w:rPr>
              <w:t>106,642</w:t>
            </w:r>
          </w:p>
        </w:tc>
        <w:tc>
          <w:tcPr>
            <w:tcW w:w="0" w:type="dxa"/>
            <w:vAlign w:val="bottom"/>
          </w:tcPr>
          <w:p>
            <w:pPr>
              <w:spacing w:after="0"/>
              <w:rPr>
                <w:sz w:val="1"/>
                <w:szCs w:val="1"/>
                <w:color w:val="auto"/>
              </w:rPr>
            </w:pPr>
          </w:p>
        </w:tc>
      </w:tr>
      <w:tr>
        <w:trPr>
          <w:trHeight w:val="198"/>
        </w:trPr>
        <w:tc>
          <w:tcPr>
            <w:tcW w:w="4680" w:type="dxa"/>
            <w:vAlign w:val="bottom"/>
          </w:tcPr>
          <w:p>
            <w:pPr>
              <w:ind w:left="60"/>
              <w:spacing w:after="0"/>
              <w:rPr>
                <w:sz w:val="20"/>
                <w:szCs w:val="20"/>
                <w:color w:val="auto"/>
              </w:rPr>
            </w:pPr>
            <w:r>
              <w:rPr>
                <w:rFonts w:ascii="Arial" w:cs="Arial" w:eastAsia="Arial" w:hAnsi="Arial"/>
                <w:sz w:val="17"/>
                <w:szCs w:val="17"/>
                <w:color w:val="auto"/>
              </w:rPr>
              <w:t>discontinued brands and exited product categories</w:t>
            </w: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line="169" w:lineRule="exact"/>
              <w:rPr>
                <w:sz w:val="20"/>
                <w:szCs w:val="20"/>
                <w:color w:val="auto"/>
              </w:rPr>
            </w:pPr>
            <w:r>
              <w:rPr>
                <w:rFonts w:ascii="Arial" w:cs="Arial" w:eastAsia="Arial" w:hAnsi="Arial"/>
                <w:sz w:val="17"/>
                <w:szCs w:val="17"/>
                <w:color w:val="auto"/>
              </w:rPr>
              <w:t>Organic net sales</w:t>
            </w:r>
          </w:p>
        </w:tc>
        <w:tc>
          <w:tcPr>
            <w:tcW w:w="20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rPr>
              <w:t>116,920</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55"/>
              <w:spacing w:after="0" w:line="169" w:lineRule="exact"/>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166,789</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283,709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tcPr>
          <w:p>
            <w:pPr>
              <w:spacing w:after="0"/>
              <w:rPr>
                <w:sz w:val="20"/>
                <w:szCs w:val="20"/>
                <w:color w:val="auto"/>
              </w:rPr>
            </w:pPr>
            <w:r>
              <w:rPr>
                <w:rFonts w:ascii="Arial" w:cs="Arial" w:eastAsia="Arial" w:hAnsi="Arial"/>
                <w:sz w:val="17"/>
                <w:szCs w:val="17"/>
                <w:color w:val="auto"/>
              </w:rPr>
              <w:t>Net sales decline</w:t>
            </w:r>
          </w:p>
        </w:tc>
        <w:tc>
          <w:tcPr>
            <w:tcW w:w="2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Less: Impact of divestitures, held for sale businesses,</w:t>
            </w: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discontinued brands and exited product categories</w:t>
            </w:r>
          </w:p>
        </w:tc>
        <w:tc>
          <w:tcPr>
            <w:tcW w:w="200" w:type="dxa"/>
            <w:vAlign w:val="bottom"/>
          </w:tcPr>
          <w:p>
            <w:pPr>
              <w:spacing w:after="0"/>
              <w:rPr>
                <w:sz w:val="16"/>
                <w:szCs w:val="16"/>
                <w:color w:val="auto"/>
              </w:rPr>
            </w:pPr>
          </w:p>
        </w:tc>
        <w:tc>
          <w:tcPr>
            <w:tcW w:w="1860" w:type="dxa"/>
            <w:vAlign w:val="bottom"/>
          </w:tcPr>
          <w:p>
            <w:pPr>
              <w:jc w:val="right"/>
              <w:spacing w:after="0" w:line="189" w:lineRule="exact"/>
              <w:rPr>
                <w:sz w:val="20"/>
                <w:szCs w:val="20"/>
                <w:color w:val="auto"/>
              </w:rPr>
            </w:pPr>
            <w:r>
              <w:rPr>
                <w:rFonts w:ascii="Arial" w:cs="Arial" w:eastAsia="Arial" w:hAnsi="Arial"/>
                <w:sz w:val="17"/>
                <w:szCs w:val="17"/>
                <w:color w:val="auto"/>
              </w:rPr>
              <w:t>(20.3)%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line="189" w:lineRule="exact"/>
              <w:rPr>
                <w:sz w:val="20"/>
                <w:szCs w:val="20"/>
                <w:color w:val="auto"/>
              </w:rPr>
            </w:pPr>
            <w:r>
              <w:rPr>
                <w:rFonts w:ascii="Arial" w:cs="Arial" w:eastAsia="Arial" w:hAnsi="Arial"/>
                <w:sz w:val="17"/>
                <w:szCs w:val="17"/>
                <w:color w:val="auto"/>
              </w:rPr>
              <w:t>(0.1)%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1"/>
        </w:trPr>
        <w:tc>
          <w:tcPr>
            <w:tcW w:w="4680" w:type="dxa"/>
            <w:vAlign w:val="bottom"/>
          </w:tcPr>
          <w:p>
            <w:pPr>
              <w:ind w:left="60"/>
              <w:spacing w:after="0"/>
              <w:rPr>
                <w:sz w:val="20"/>
                <w:szCs w:val="20"/>
                <w:color w:val="auto"/>
              </w:rPr>
            </w:pPr>
            <w:r>
              <w:rPr>
                <w:rFonts w:ascii="Arial" w:cs="Arial" w:eastAsia="Arial" w:hAnsi="Arial"/>
                <w:sz w:val="17"/>
                <w:szCs w:val="17"/>
                <w:color w:val="auto"/>
              </w:rPr>
              <w:t>Less: Impact of foreign currency exchange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3"/>
        </w:trPr>
        <w:tc>
          <w:tcPr>
            <w:tcW w:w="4680" w:type="dxa"/>
            <w:vAlign w:val="bottom"/>
          </w:tcPr>
          <w:p>
            <w:pPr>
              <w:spacing w:after="0" w:line="169" w:lineRule="exact"/>
              <w:rPr>
                <w:sz w:val="20"/>
                <w:szCs w:val="20"/>
                <w:color w:val="auto"/>
              </w:rPr>
            </w:pPr>
            <w:r>
              <w:rPr>
                <w:rFonts w:ascii="Arial" w:cs="Arial" w:eastAsia="Arial" w:hAnsi="Arial"/>
                <w:sz w:val="17"/>
                <w:szCs w:val="17"/>
                <w:color w:val="auto"/>
              </w:rPr>
              <w:t>Organic net sales decline</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(7.8)%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0"/>
                <w:szCs w:val="20"/>
                <w:color w:val="auto"/>
              </w:rPr>
            </w:pPr>
            <w:r>
              <w:rPr>
                <w:rFonts w:ascii="Arial" w:cs="Arial" w:eastAsia="Arial" w:hAnsi="Arial"/>
                <w:sz w:val="17"/>
                <w:szCs w:val="17"/>
                <w:b w:val="1"/>
                <w:bCs w:val="1"/>
                <w:color w:val="auto"/>
              </w:rPr>
              <w:t>Q3 FY26 YTD</w:t>
            </w: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North America</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International</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Hain Consolidated</w:t>
            </w:r>
          </w:p>
        </w:tc>
        <w:tc>
          <w:tcPr>
            <w:tcW w:w="0" w:type="dxa"/>
            <w:vAlign w:val="bottom"/>
          </w:tcPr>
          <w:p>
            <w:pPr>
              <w:spacing w:after="0"/>
              <w:rPr>
                <w:sz w:val="1"/>
                <w:szCs w:val="1"/>
                <w:color w:val="auto"/>
              </w:rPr>
            </w:pPr>
          </w:p>
        </w:tc>
      </w:tr>
      <w:tr>
        <w:trPr>
          <w:trHeight w:val="160"/>
        </w:trPr>
        <w:tc>
          <w:tcPr>
            <w:tcW w:w="4680" w:type="dxa"/>
            <w:vAlign w:val="bottom"/>
          </w:tcPr>
          <w:p>
            <w:pPr>
              <w:spacing w:after="0" w:line="160" w:lineRule="exact"/>
              <w:rPr>
                <w:sz w:val="20"/>
                <w:szCs w:val="20"/>
                <w:color w:val="auto"/>
              </w:rPr>
            </w:pPr>
            <w:r>
              <w:rPr>
                <w:rFonts w:ascii="Arial" w:cs="Arial" w:eastAsia="Arial" w:hAnsi="Arial"/>
                <w:sz w:val="17"/>
                <w:szCs w:val="17"/>
                <w:color w:val="auto"/>
              </w:rPr>
              <w:t>Net sales</w:t>
            </w:r>
          </w:p>
        </w:tc>
        <w:tc>
          <w:tcPr>
            <w:tcW w:w="200" w:type="dxa"/>
            <w:vAlign w:val="bottom"/>
          </w:tcPr>
          <w:p>
            <w:pPr>
              <w:jc w:val="right"/>
              <w:ind w:right="15"/>
              <w:spacing w:after="0" w:line="160" w:lineRule="exact"/>
              <w:rPr>
                <w:sz w:val="20"/>
                <w:szCs w:val="20"/>
                <w:color w:val="auto"/>
              </w:rPr>
            </w:pPr>
            <w:r>
              <w:rPr>
                <w:rFonts w:ascii="Arial" w:cs="Arial" w:eastAsia="Arial" w:hAnsi="Arial"/>
                <w:sz w:val="17"/>
                <w:szCs w:val="17"/>
                <w:color w:val="auto"/>
                <w:w w:val="84"/>
              </w:rPr>
              <w:t>$</w:t>
            </w:r>
          </w:p>
        </w:tc>
        <w:tc>
          <w:tcPr>
            <w:tcW w:w="1860" w:type="dxa"/>
            <w:vAlign w:val="bottom"/>
          </w:tcPr>
          <w:p>
            <w:pPr>
              <w:jc w:val="right"/>
              <w:ind w:right="175"/>
              <w:spacing w:after="0" w:line="160" w:lineRule="exact"/>
              <w:rPr>
                <w:sz w:val="20"/>
                <w:szCs w:val="20"/>
                <w:color w:val="auto"/>
              </w:rPr>
            </w:pPr>
            <w:r>
              <w:rPr>
                <w:rFonts w:ascii="Arial" w:cs="Arial" w:eastAsia="Arial" w:hAnsi="Arial"/>
                <w:sz w:val="17"/>
                <w:szCs w:val="17"/>
                <w:color w:val="auto"/>
              </w:rPr>
              <w:t>573,236</w:t>
            </w:r>
          </w:p>
        </w:tc>
        <w:tc>
          <w:tcPr>
            <w:tcW w:w="180" w:type="dxa"/>
            <w:vAlign w:val="bottom"/>
          </w:tcPr>
          <w:p>
            <w:pPr>
              <w:spacing w:after="0"/>
              <w:rPr>
                <w:sz w:val="13"/>
                <w:szCs w:val="13"/>
                <w:color w:val="auto"/>
              </w:rPr>
            </w:pPr>
          </w:p>
        </w:tc>
        <w:tc>
          <w:tcPr>
            <w:tcW w:w="240" w:type="dxa"/>
            <w:vAlign w:val="bottom"/>
          </w:tcPr>
          <w:p>
            <w:pPr>
              <w:jc w:val="right"/>
              <w:ind w:right="55"/>
              <w:spacing w:after="0" w:line="160" w:lineRule="exact"/>
              <w:rPr>
                <w:sz w:val="20"/>
                <w:szCs w:val="20"/>
                <w:color w:val="auto"/>
              </w:rPr>
            </w:pPr>
            <w:r>
              <w:rPr>
                <w:rFonts w:ascii="Arial" w:cs="Arial" w:eastAsia="Arial" w:hAnsi="Arial"/>
                <w:sz w:val="17"/>
                <w:szCs w:val="17"/>
                <w:color w:val="auto"/>
                <w:w w:val="84"/>
              </w:rPr>
              <w:t>$</w:t>
            </w:r>
          </w:p>
        </w:tc>
        <w:tc>
          <w:tcPr>
            <w:tcW w:w="1820" w:type="dxa"/>
            <w:vAlign w:val="bottom"/>
          </w:tcPr>
          <w:p>
            <w:pPr>
              <w:jc w:val="right"/>
              <w:ind w:right="155"/>
              <w:spacing w:after="0" w:line="160" w:lineRule="exact"/>
              <w:rPr>
                <w:sz w:val="20"/>
                <w:szCs w:val="20"/>
                <w:color w:val="auto"/>
              </w:rPr>
            </w:pPr>
            <w:r>
              <w:rPr>
                <w:rFonts w:ascii="Arial" w:cs="Arial" w:eastAsia="Arial" w:hAnsi="Arial"/>
                <w:sz w:val="17"/>
                <w:szCs w:val="17"/>
                <w:color w:val="auto"/>
              </w:rPr>
              <w:t>517,124</w:t>
            </w:r>
          </w:p>
        </w:tc>
        <w:tc>
          <w:tcPr>
            <w:tcW w:w="200" w:type="dxa"/>
            <w:vAlign w:val="bottom"/>
          </w:tcPr>
          <w:p>
            <w:pPr>
              <w:spacing w:after="0"/>
              <w:rPr>
                <w:sz w:val="13"/>
                <w:szCs w:val="13"/>
                <w:color w:val="auto"/>
              </w:rPr>
            </w:pPr>
          </w:p>
        </w:tc>
        <w:tc>
          <w:tcPr>
            <w:tcW w:w="120" w:type="dxa"/>
            <w:vAlign w:val="bottom"/>
          </w:tcPr>
          <w:p>
            <w:pPr>
              <w:jc w:val="right"/>
              <w:spacing w:after="0" w:line="161" w:lineRule="exact"/>
              <w:rPr>
                <w:sz w:val="20"/>
                <w:szCs w:val="20"/>
                <w:color w:val="auto"/>
              </w:rPr>
            </w:pPr>
            <w:r>
              <w:rPr>
                <w:rFonts w:ascii="Arial" w:cs="Arial" w:eastAsia="Arial" w:hAnsi="Arial"/>
                <w:sz w:val="15"/>
                <w:szCs w:val="15"/>
                <w:color w:val="auto"/>
                <w:w w:val="71"/>
              </w:rPr>
              <w:t>$</w:t>
            </w:r>
          </w:p>
        </w:tc>
        <w:tc>
          <w:tcPr>
            <w:tcW w:w="1940" w:type="dxa"/>
            <w:vAlign w:val="bottom"/>
          </w:tcPr>
          <w:p>
            <w:pPr>
              <w:jc w:val="right"/>
              <w:ind w:right="155"/>
              <w:spacing w:after="0" w:line="160" w:lineRule="exact"/>
              <w:rPr>
                <w:sz w:val="20"/>
                <w:szCs w:val="20"/>
                <w:color w:val="auto"/>
              </w:rPr>
            </w:pPr>
            <w:r>
              <w:rPr>
                <w:rFonts w:ascii="Arial" w:cs="Arial" w:eastAsia="Arial" w:hAnsi="Arial"/>
                <w:sz w:val="17"/>
                <w:szCs w:val="17"/>
                <w:color w:val="auto"/>
              </w:rPr>
              <w:t>1,090,360</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Less: Impact of divestitures, held for sale businesses,</w:t>
            </w: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discontinued brands and exited product categories</w:t>
            </w:r>
          </w:p>
        </w:tc>
        <w:tc>
          <w:tcPr>
            <w:tcW w:w="200" w:type="dxa"/>
            <w:vAlign w:val="bottom"/>
          </w:tcPr>
          <w:p>
            <w:pPr>
              <w:spacing w:after="0"/>
              <w:rPr>
                <w:sz w:val="16"/>
                <w:szCs w:val="16"/>
                <w:color w:val="auto"/>
              </w:rPr>
            </w:pPr>
          </w:p>
        </w:tc>
        <w:tc>
          <w:tcPr>
            <w:tcW w:w="18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226,664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3,085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229,749</w:t>
            </w:r>
          </w:p>
        </w:tc>
        <w:tc>
          <w:tcPr>
            <w:tcW w:w="0" w:type="dxa"/>
            <w:vAlign w:val="bottom"/>
          </w:tcPr>
          <w:p>
            <w:pPr>
              <w:spacing w:after="0"/>
              <w:rPr>
                <w:sz w:val="1"/>
                <w:szCs w:val="1"/>
                <w:color w:val="auto"/>
              </w:rPr>
            </w:pPr>
          </w:p>
        </w:tc>
      </w:tr>
      <w:tr>
        <w:trPr>
          <w:trHeight w:val="211"/>
        </w:trPr>
        <w:tc>
          <w:tcPr>
            <w:tcW w:w="4680" w:type="dxa"/>
            <w:vAlign w:val="bottom"/>
          </w:tcPr>
          <w:p>
            <w:pPr>
              <w:ind w:left="60"/>
              <w:spacing w:after="0"/>
              <w:rPr>
                <w:sz w:val="20"/>
                <w:szCs w:val="20"/>
                <w:color w:val="auto"/>
              </w:rPr>
            </w:pPr>
            <w:r>
              <w:rPr>
                <w:rFonts w:ascii="Arial" w:cs="Arial" w:eastAsia="Arial" w:hAnsi="Arial"/>
                <w:sz w:val="17"/>
                <w:szCs w:val="17"/>
                <w:color w:val="auto"/>
              </w:rPr>
              <w:t>Less: Impact of foreign currency exchange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267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27,906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28,173</w:t>
            </w:r>
          </w:p>
        </w:tc>
        <w:tc>
          <w:tcPr>
            <w:tcW w:w="0" w:type="dxa"/>
            <w:vAlign w:val="bottom"/>
          </w:tcPr>
          <w:p>
            <w:pPr>
              <w:spacing w:after="0"/>
              <w:rPr>
                <w:sz w:val="1"/>
                <w:szCs w:val="1"/>
                <w:color w:val="auto"/>
              </w:rPr>
            </w:pPr>
          </w:p>
        </w:tc>
      </w:tr>
      <w:tr>
        <w:trPr>
          <w:trHeight w:val="183"/>
        </w:trPr>
        <w:tc>
          <w:tcPr>
            <w:tcW w:w="4680" w:type="dxa"/>
            <w:vAlign w:val="bottom"/>
          </w:tcPr>
          <w:p>
            <w:pPr>
              <w:spacing w:after="0" w:line="169" w:lineRule="exact"/>
              <w:rPr>
                <w:sz w:val="20"/>
                <w:szCs w:val="20"/>
                <w:color w:val="auto"/>
              </w:rPr>
            </w:pPr>
            <w:r>
              <w:rPr>
                <w:rFonts w:ascii="Arial" w:cs="Arial" w:eastAsia="Arial" w:hAnsi="Arial"/>
                <w:sz w:val="17"/>
                <w:szCs w:val="17"/>
                <w:color w:val="auto"/>
              </w:rPr>
              <w:t>Organic net sales</w:t>
            </w:r>
          </w:p>
        </w:tc>
        <w:tc>
          <w:tcPr>
            <w:tcW w:w="20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rPr>
              <w:t>346,305</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55"/>
              <w:spacing w:after="0" w:line="169" w:lineRule="exact"/>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486,133</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832,438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7"/>
                <w:szCs w:val="17"/>
                <w:b w:val="1"/>
                <w:bCs w:val="1"/>
                <w:color w:val="auto"/>
              </w:rPr>
              <w:t>Q3 FY25 YTD</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7"/>
                <w:szCs w:val="17"/>
                <w:color w:val="auto"/>
              </w:rPr>
              <w:t>Net sales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8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682,836</w:t>
            </w:r>
          </w:p>
        </w:tc>
        <w:tc>
          <w:tcPr>
            <w:tcW w:w="42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8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513,596</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9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1,196,432</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Less: Impact of divestitures, held for sale businesses,</w:t>
            </w:r>
          </w:p>
        </w:tc>
        <w:tc>
          <w:tcPr>
            <w:tcW w:w="200" w:type="dxa"/>
            <w:vAlign w:val="bottom"/>
          </w:tcPr>
          <w:p>
            <w:pPr>
              <w:spacing w:after="0"/>
              <w:rPr>
                <w:sz w:val="16"/>
                <w:szCs w:val="16"/>
                <w:color w:val="auto"/>
              </w:rPr>
            </w:pPr>
          </w:p>
        </w:tc>
        <w:tc>
          <w:tcPr>
            <w:tcW w:w="1860" w:type="dxa"/>
            <w:vAlign w:val="bottom"/>
            <w:vMerge w:val="restart"/>
          </w:tcPr>
          <w:p>
            <w:pPr>
              <w:jc w:val="right"/>
              <w:ind w:right="175"/>
              <w:spacing w:after="0"/>
              <w:rPr>
                <w:sz w:val="20"/>
                <w:szCs w:val="20"/>
                <w:color w:val="auto"/>
              </w:rPr>
            </w:pPr>
            <w:r>
              <w:rPr>
                <w:rFonts w:ascii="Arial" w:cs="Arial" w:eastAsia="Arial" w:hAnsi="Arial"/>
                <w:sz w:val="17"/>
                <w:szCs w:val="17"/>
                <w:color w:val="auto"/>
              </w:rPr>
              <w:t>330,826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vMerge w:val="restart"/>
          </w:tcPr>
          <w:p>
            <w:pPr>
              <w:jc w:val="right"/>
              <w:ind w:right="155"/>
              <w:spacing w:after="0"/>
              <w:rPr>
                <w:sz w:val="20"/>
                <w:szCs w:val="20"/>
                <w:color w:val="auto"/>
              </w:rPr>
            </w:pPr>
            <w:r>
              <w:rPr>
                <w:rFonts w:ascii="Arial" w:cs="Arial" w:eastAsia="Arial" w:hAnsi="Arial"/>
                <w:sz w:val="17"/>
                <w:szCs w:val="17"/>
                <w:color w:val="auto"/>
              </w:rPr>
              <w:t>3,872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vMerge w:val="restart"/>
          </w:tcPr>
          <w:p>
            <w:pPr>
              <w:jc w:val="right"/>
              <w:ind w:right="155"/>
              <w:spacing w:after="0"/>
              <w:rPr>
                <w:sz w:val="20"/>
                <w:szCs w:val="20"/>
                <w:color w:val="auto"/>
              </w:rPr>
            </w:pPr>
            <w:r>
              <w:rPr>
                <w:rFonts w:ascii="Arial" w:cs="Arial" w:eastAsia="Arial" w:hAnsi="Arial"/>
                <w:sz w:val="17"/>
                <w:szCs w:val="17"/>
                <w:color w:val="auto"/>
              </w:rPr>
              <w:t>334,698</w:t>
            </w:r>
          </w:p>
        </w:tc>
        <w:tc>
          <w:tcPr>
            <w:tcW w:w="0" w:type="dxa"/>
            <w:vAlign w:val="bottom"/>
          </w:tcPr>
          <w:p>
            <w:pPr>
              <w:spacing w:after="0"/>
              <w:rPr>
                <w:sz w:val="1"/>
                <w:szCs w:val="1"/>
                <w:color w:val="auto"/>
              </w:rPr>
            </w:pPr>
          </w:p>
        </w:tc>
      </w:tr>
      <w:tr>
        <w:trPr>
          <w:trHeight w:val="198"/>
        </w:trPr>
        <w:tc>
          <w:tcPr>
            <w:tcW w:w="4680" w:type="dxa"/>
            <w:vAlign w:val="bottom"/>
          </w:tcPr>
          <w:p>
            <w:pPr>
              <w:ind w:left="60"/>
              <w:spacing w:after="0"/>
              <w:rPr>
                <w:sz w:val="20"/>
                <w:szCs w:val="20"/>
                <w:color w:val="auto"/>
              </w:rPr>
            </w:pPr>
            <w:r>
              <w:rPr>
                <w:rFonts w:ascii="Arial" w:cs="Arial" w:eastAsia="Arial" w:hAnsi="Arial"/>
                <w:sz w:val="17"/>
                <w:szCs w:val="17"/>
                <w:color w:val="auto"/>
              </w:rPr>
              <w:t>discontinued brands and exited product categories</w:t>
            </w: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line="169" w:lineRule="exact"/>
              <w:rPr>
                <w:sz w:val="20"/>
                <w:szCs w:val="20"/>
                <w:color w:val="auto"/>
              </w:rPr>
            </w:pPr>
            <w:r>
              <w:rPr>
                <w:rFonts w:ascii="Arial" w:cs="Arial" w:eastAsia="Arial" w:hAnsi="Arial"/>
                <w:sz w:val="17"/>
                <w:szCs w:val="17"/>
                <w:color w:val="auto"/>
              </w:rPr>
              <w:t>Organic net sales</w:t>
            </w:r>
          </w:p>
        </w:tc>
        <w:tc>
          <w:tcPr>
            <w:tcW w:w="20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7"/>
                <w:szCs w:val="17"/>
                <w:color w:val="auto"/>
              </w:rPr>
              <w:t>352,010</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55"/>
              <w:spacing w:after="0" w:line="169" w:lineRule="exact"/>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509,724</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rPr>
              <w:t>861,734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tcPr>
          <w:p>
            <w:pPr>
              <w:spacing w:after="0"/>
              <w:rPr>
                <w:sz w:val="20"/>
                <w:szCs w:val="20"/>
                <w:color w:val="auto"/>
              </w:rPr>
            </w:pPr>
            <w:r>
              <w:rPr>
                <w:rFonts w:ascii="Arial" w:cs="Arial" w:eastAsia="Arial" w:hAnsi="Arial"/>
                <w:sz w:val="17"/>
                <w:szCs w:val="17"/>
                <w:color w:val="auto"/>
              </w:rPr>
              <w:t>Net sales (decline) growth</w:t>
            </w:r>
          </w:p>
        </w:tc>
        <w:tc>
          <w:tcPr>
            <w:tcW w:w="2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(16.1)%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0.7%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Less: Impact of divestitures, held for sale businesses,</w:t>
            </w: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line="189" w:lineRule="exact"/>
              <w:rPr>
                <w:sz w:val="20"/>
                <w:szCs w:val="20"/>
                <w:color w:val="auto"/>
              </w:rPr>
            </w:pPr>
            <w:r>
              <w:rPr>
                <w:rFonts w:ascii="Arial" w:cs="Arial" w:eastAsia="Arial" w:hAnsi="Arial"/>
                <w:sz w:val="17"/>
                <w:szCs w:val="17"/>
                <w:color w:val="auto"/>
              </w:rPr>
              <w:t>discontinued brands and exited product categories</w:t>
            </w:r>
          </w:p>
        </w:tc>
        <w:tc>
          <w:tcPr>
            <w:tcW w:w="200" w:type="dxa"/>
            <w:vAlign w:val="bottom"/>
          </w:tcPr>
          <w:p>
            <w:pPr>
              <w:spacing w:after="0"/>
              <w:rPr>
                <w:sz w:val="16"/>
                <w:szCs w:val="16"/>
                <w:color w:val="auto"/>
              </w:rPr>
            </w:pPr>
          </w:p>
        </w:tc>
        <w:tc>
          <w:tcPr>
            <w:tcW w:w="1860" w:type="dxa"/>
            <w:vAlign w:val="bottom"/>
          </w:tcPr>
          <w:p>
            <w:pPr>
              <w:jc w:val="right"/>
              <w:spacing w:after="0" w:line="189" w:lineRule="exact"/>
              <w:rPr>
                <w:sz w:val="20"/>
                <w:szCs w:val="20"/>
                <w:color w:val="auto"/>
              </w:rPr>
            </w:pPr>
            <w:r>
              <w:rPr>
                <w:rFonts w:ascii="Arial" w:cs="Arial" w:eastAsia="Arial" w:hAnsi="Arial"/>
                <w:sz w:val="17"/>
                <w:szCs w:val="17"/>
                <w:color w:val="auto"/>
              </w:rPr>
              <w:t>(14.5)%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line="189" w:lineRule="exact"/>
              <w:rPr>
                <w:sz w:val="20"/>
                <w:szCs w:val="20"/>
                <w:color w:val="auto"/>
              </w:rPr>
            </w:pPr>
            <w:r>
              <w:rPr>
                <w:rFonts w:ascii="Arial" w:cs="Arial" w:eastAsia="Arial" w:hAnsi="Arial"/>
                <w:sz w:val="17"/>
                <w:szCs w:val="17"/>
                <w:color w:val="auto"/>
              </w:rPr>
              <w:t>(0.1)%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1"/>
        </w:trPr>
        <w:tc>
          <w:tcPr>
            <w:tcW w:w="4680" w:type="dxa"/>
            <w:vAlign w:val="bottom"/>
          </w:tcPr>
          <w:p>
            <w:pPr>
              <w:ind w:left="60"/>
              <w:spacing w:after="0"/>
              <w:rPr>
                <w:sz w:val="20"/>
                <w:szCs w:val="20"/>
                <w:color w:val="auto"/>
              </w:rPr>
            </w:pPr>
            <w:r>
              <w:rPr>
                <w:rFonts w:ascii="Arial" w:cs="Arial" w:eastAsia="Arial" w:hAnsi="Arial"/>
                <w:sz w:val="17"/>
                <w:szCs w:val="17"/>
                <w:color w:val="auto"/>
              </w:rPr>
              <w:t>Less: Impact of foreign currency exchange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3"/>
        </w:trPr>
        <w:tc>
          <w:tcPr>
            <w:tcW w:w="4680" w:type="dxa"/>
            <w:vAlign w:val="bottom"/>
          </w:tcPr>
          <w:p>
            <w:pPr>
              <w:spacing w:after="0" w:line="169" w:lineRule="exact"/>
              <w:rPr>
                <w:sz w:val="20"/>
                <w:szCs w:val="20"/>
                <w:color w:val="auto"/>
              </w:rPr>
            </w:pPr>
            <w:r>
              <w:rPr>
                <w:rFonts w:ascii="Arial" w:cs="Arial" w:eastAsia="Arial" w:hAnsi="Arial"/>
                <w:sz w:val="17"/>
                <w:szCs w:val="17"/>
                <w:color w:val="auto"/>
              </w:rPr>
              <w:t>Organic net sales decline</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(4.6)%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5"/>
        </w:trPr>
        <w:tc>
          <w:tcPr>
            <w:tcW w:w="4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Q3 FY26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sales</w:t>
      </w:r>
    </w:p>
    <w:p>
      <w:pPr>
        <w:spacing w:after="0" w:line="1" w:lineRule="exact"/>
        <w:rPr>
          <w:sz w:val="20"/>
          <w:szCs w:val="20"/>
          <w:color w:val="auto"/>
        </w:rPr>
      </w:pPr>
    </w:p>
    <w:p>
      <w:pPr>
        <w:ind w:left="40"/>
        <w:spacing w:after="0" w:line="248" w:lineRule="auto"/>
        <w:rPr>
          <w:sz w:val="20"/>
          <w:szCs w:val="20"/>
          <w:color w:val="auto"/>
        </w:rPr>
      </w:pPr>
      <w:r>
        <w:rPr>
          <w:rFonts w:ascii="Arial" w:cs="Arial" w:eastAsia="Arial" w:hAnsi="Arial"/>
          <w:sz w:val="14"/>
          <w:szCs w:val="14"/>
          <w:color w:val="auto"/>
        </w:rPr>
        <w:t>Less: Impact of divestitures, held for sale businesses, discontinued brands and exited product categories</w:t>
      </w:r>
    </w:p>
    <w:p>
      <w:pPr>
        <w:ind w:right="80" w:firstLine="29"/>
        <w:spacing w:after="0" w:line="324" w:lineRule="auto"/>
        <w:rPr>
          <w:sz w:val="20"/>
          <w:szCs w:val="20"/>
          <w:color w:val="auto"/>
        </w:rPr>
      </w:pPr>
      <w:r>
        <w:rPr>
          <w:rFonts w:ascii="Arial" w:cs="Arial" w:eastAsia="Arial" w:hAnsi="Arial"/>
          <w:sz w:val="14"/>
          <w:szCs w:val="14"/>
          <w:color w:val="auto"/>
        </w:rPr>
        <w:t>Less: Impact of foreign currency exchange Organic net sales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Q3 FY25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sales</w:t>
      </w:r>
    </w:p>
    <w:p>
      <w:pPr>
        <w:spacing w:after="0" w:line="1" w:lineRule="exact"/>
        <w:rPr>
          <w:sz w:val="20"/>
          <w:szCs w:val="20"/>
          <w:color w:val="auto"/>
        </w:rPr>
      </w:pPr>
    </w:p>
    <w:p>
      <w:pPr>
        <w:ind w:left="40"/>
        <w:spacing w:after="0" w:line="252" w:lineRule="auto"/>
        <w:rPr>
          <w:sz w:val="20"/>
          <w:szCs w:val="20"/>
          <w:color w:val="auto"/>
        </w:rPr>
      </w:pPr>
      <w:r>
        <w:rPr>
          <w:rFonts w:ascii="Arial" w:cs="Arial" w:eastAsia="Arial" w:hAnsi="Arial"/>
          <w:sz w:val="14"/>
          <w:szCs w:val="14"/>
          <w:color w:val="auto"/>
        </w:rPr>
        <w:t>Less: Impact of divestitures, held for sale businesses, discontinued brands and exited product categories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Organic net sales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Net sales (decline) growth</w:t>
      </w:r>
    </w:p>
    <w:p>
      <w:pPr>
        <w:spacing w:after="0" w:line="15" w:lineRule="exact"/>
        <w:rPr>
          <w:sz w:val="20"/>
          <w:szCs w:val="20"/>
          <w:color w:val="auto"/>
        </w:rPr>
      </w:pPr>
    </w:p>
    <w:p>
      <w:pPr>
        <w:ind w:left="40"/>
        <w:spacing w:after="0" w:line="248" w:lineRule="auto"/>
        <w:rPr>
          <w:sz w:val="20"/>
          <w:szCs w:val="20"/>
          <w:color w:val="auto"/>
        </w:rPr>
      </w:pPr>
      <w:r>
        <w:rPr>
          <w:rFonts w:ascii="Arial" w:cs="Arial" w:eastAsia="Arial" w:hAnsi="Arial"/>
          <w:sz w:val="14"/>
          <w:szCs w:val="14"/>
          <w:color w:val="auto"/>
        </w:rPr>
        <w:t>Less: Impact of divestitures, held for sale businesses, discontinued brands and exited product categories</w:t>
      </w:r>
    </w:p>
    <w:p>
      <w:pPr>
        <w:ind w:right="80" w:firstLine="29"/>
        <w:spacing w:after="0" w:line="324" w:lineRule="auto"/>
        <w:rPr>
          <w:sz w:val="20"/>
          <w:szCs w:val="20"/>
          <w:color w:val="auto"/>
        </w:rPr>
      </w:pPr>
      <w:r>
        <w:rPr>
          <w:rFonts w:ascii="Arial" w:cs="Arial" w:eastAsia="Arial" w:hAnsi="Arial"/>
          <w:sz w:val="14"/>
          <w:szCs w:val="14"/>
          <w:color w:val="auto"/>
        </w:rPr>
        <w:t>Less: Impact of foreign currency exchange Net sales (decline) growth</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Q3 FY26 YTD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sales</w:t>
      </w:r>
    </w:p>
    <w:p>
      <w:pPr>
        <w:spacing w:after="0" w:line="1" w:lineRule="exact"/>
        <w:rPr>
          <w:sz w:val="20"/>
          <w:szCs w:val="20"/>
          <w:color w:val="auto"/>
        </w:rPr>
      </w:pPr>
    </w:p>
    <w:p>
      <w:pPr>
        <w:ind w:left="40"/>
        <w:spacing w:after="0" w:line="248" w:lineRule="auto"/>
        <w:rPr>
          <w:sz w:val="20"/>
          <w:szCs w:val="20"/>
          <w:color w:val="auto"/>
        </w:rPr>
      </w:pPr>
      <w:r>
        <w:rPr>
          <w:rFonts w:ascii="Arial" w:cs="Arial" w:eastAsia="Arial" w:hAnsi="Arial"/>
          <w:sz w:val="14"/>
          <w:szCs w:val="14"/>
          <w:color w:val="auto"/>
        </w:rPr>
        <w:t>Less: Impact of divestitures, held for sale businesses, discontinued brands and exited product categories</w:t>
      </w:r>
    </w:p>
    <w:p>
      <w:pPr>
        <w:ind w:right="80" w:firstLine="29"/>
        <w:spacing w:after="0" w:line="324" w:lineRule="auto"/>
        <w:rPr>
          <w:sz w:val="20"/>
          <w:szCs w:val="20"/>
          <w:color w:val="auto"/>
        </w:rPr>
      </w:pPr>
      <w:r>
        <w:rPr>
          <w:rFonts w:ascii="Arial" w:cs="Arial" w:eastAsia="Arial" w:hAnsi="Arial"/>
          <w:sz w:val="14"/>
          <w:szCs w:val="14"/>
          <w:color w:val="auto"/>
        </w:rPr>
        <w:t>Less: Impact of foreign currency exchange Organic net sales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Q3 FY25 YTD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sales</w:t>
      </w:r>
    </w:p>
    <w:p>
      <w:pPr>
        <w:spacing w:after="0" w:line="1" w:lineRule="exact"/>
        <w:rPr>
          <w:sz w:val="20"/>
          <w:szCs w:val="20"/>
          <w:color w:val="auto"/>
        </w:rPr>
      </w:pPr>
    </w:p>
    <w:p>
      <w:pPr>
        <w:ind w:left="40"/>
        <w:spacing w:after="0" w:line="252" w:lineRule="auto"/>
        <w:rPr>
          <w:sz w:val="20"/>
          <w:szCs w:val="20"/>
          <w:color w:val="auto"/>
        </w:rPr>
      </w:pPr>
      <w:r>
        <w:rPr>
          <w:rFonts w:ascii="Arial" w:cs="Arial" w:eastAsia="Arial" w:hAnsi="Arial"/>
          <w:sz w:val="14"/>
          <w:szCs w:val="14"/>
          <w:color w:val="auto"/>
        </w:rPr>
        <w:t>Less: Impact of divestitures, held for sale businesses, discontinued brands and exited product categories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Organic net sales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Net sales (decline) growth</w:t>
      </w:r>
    </w:p>
    <w:p>
      <w:pPr>
        <w:spacing w:after="0" w:line="15" w:lineRule="exact"/>
        <w:rPr>
          <w:sz w:val="20"/>
          <w:szCs w:val="20"/>
          <w:color w:val="auto"/>
        </w:rPr>
      </w:pPr>
    </w:p>
    <w:p>
      <w:pPr>
        <w:ind w:left="40"/>
        <w:spacing w:after="0" w:line="248" w:lineRule="auto"/>
        <w:rPr>
          <w:sz w:val="20"/>
          <w:szCs w:val="20"/>
          <w:color w:val="auto"/>
        </w:rPr>
      </w:pPr>
      <w:r>
        <w:rPr>
          <w:rFonts w:ascii="Arial" w:cs="Arial" w:eastAsia="Arial" w:hAnsi="Arial"/>
          <w:sz w:val="14"/>
          <w:szCs w:val="14"/>
          <w:color w:val="auto"/>
        </w:rPr>
        <w:t>Less: Impact of divestitures, held for sale businesses, discontinued brands and exited product categories</w:t>
      </w:r>
    </w:p>
    <w:p>
      <w:pPr>
        <w:ind w:right="80" w:firstLine="29"/>
        <w:spacing w:after="0" w:line="324" w:lineRule="auto"/>
        <w:rPr>
          <w:sz w:val="20"/>
          <w:szCs w:val="20"/>
          <w:color w:val="auto"/>
        </w:rPr>
      </w:pPr>
      <w:r>
        <w:rPr>
          <w:rFonts w:ascii="Arial" w:cs="Arial" w:eastAsia="Arial" w:hAnsi="Arial"/>
          <w:sz w:val="14"/>
          <w:szCs w:val="14"/>
          <w:color w:val="auto"/>
        </w:rPr>
        <w:t>Less: Impact of foreign currency exchange Net sales (decline) growth</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4"/>
          <w:szCs w:val="14"/>
          <w:b w:val="1"/>
          <w:bCs w:val="1"/>
          <w:color w:val="auto"/>
        </w:rPr>
        <w:t>THE HAIN CELESTIAL GROUP, INC. AND SUBSIDIARIES</w:t>
      </w:r>
    </w:p>
    <w:p>
      <w:pPr>
        <w:spacing w:after="0" w:line="15"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Organic Net Sales Growth by Category</w:t>
      </w:r>
    </w:p>
    <w:p>
      <w:pPr>
        <w:spacing w:after="0" w:line="1" w:lineRule="exact"/>
        <w:rPr>
          <w:sz w:val="20"/>
          <w:szCs w:val="20"/>
          <w:color w:val="auto"/>
        </w:rPr>
      </w:pPr>
    </w:p>
    <w:p>
      <w:pPr>
        <w:jc w:val="center"/>
        <w:ind w:right="3360"/>
        <w:spacing w:after="0"/>
        <w:rPr>
          <w:sz w:val="20"/>
          <w:szCs w:val="20"/>
          <w:color w:val="auto"/>
        </w:rPr>
      </w:pPr>
      <w:r>
        <w:rPr>
          <w:rFonts w:ascii="Arial" w:cs="Arial" w:eastAsia="Arial" w:hAnsi="Arial"/>
          <w:sz w:val="14"/>
          <w:szCs w:val="14"/>
          <w:color w:val="auto"/>
        </w:rPr>
        <w:t>(unaudited and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388"/>
              <w:spacing w:after="0"/>
              <w:rPr>
                <w:sz w:val="20"/>
                <w:szCs w:val="20"/>
                <w:color w:val="auto"/>
              </w:rPr>
            </w:pPr>
            <w:r>
              <w:rPr>
                <w:rFonts w:ascii="Arial" w:cs="Arial" w:eastAsia="Arial" w:hAnsi="Arial"/>
                <w:sz w:val="14"/>
                <w:szCs w:val="14"/>
                <w:b w:val="1"/>
                <w:bCs w:val="1"/>
                <w:color w:val="auto"/>
              </w:rPr>
              <w:t>Hain</w:t>
            </w:r>
          </w:p>
        </w:tc>
      </w:tr>
      <w:tr>
        <w:trPr>
          <w:trHeight w:val="171"/>
        </w:trPr>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9"/>
              </w:rPr>
              <w:t>Baby &amp; Kids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Beverages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Meal Prep</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Personal Care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Snacks</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rPr>
              <w:t>Consolidated</w:t>
            </w:r>
          </w:p>
        </w:tc>
      </w:tr>
      <w:tr>
        <w:trPr>
          <w:trHeight w:val="184"/>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53,133</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66,502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153,231</w:t>
            </w:r>
          </w:p>
        </w:tc>
        <w:tc>
          <w:tcPr>
            <w:tcW w:w="14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12,664</w:t>
            </w:r>
          </w:p>
        </w:tc>
        <w:tc>
          <w:tcPr>
            <w:tcW w:w="1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52,827</w:t>
            </w:r>
          </w:p>
        </w:tc>
        <w:tc>
          <w:tcPr>
            <w:tcW w:w="1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338,357</w:t>
            </w:r>
          </w:p>
        </w:tc>
      </w:tr>
      <w:tr>
        <w:trPr>
          <w:trHeight w:val="449"/>
        </w:trPr>
        <w:tc>
          <w:tcPr>
            <w:tcW w:w="10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332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12,664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45,369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58,365</w:t>
            </w:r>
          </w:p>
        </w:tc>
      </w:tr>
      <w:tr>
        <w:trPr>
          <w:trHeight w:val="171"/>
        </w:trPr>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1,589</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3,339</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7,118</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480</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12,526</w:t>
            </w:r>
          </w:p>
        </w:tc>
      </w:tr>
      <w:tr>
        <w:trPr>
          <w:trHeight w:val="156"/>
        </w:trPr>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51,544</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63,163</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145,781</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6,978</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267,466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5"/>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59,896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62,874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162,266</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16,809</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88,506</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390,351</w:t>
            </w:r>
          </w:p>
        </w:tc>
      </w:tr>
      <w:tr>
        <w:trPr>
          <w:trHeight w:val="453"/>
        </w:trPr>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221</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8,634</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16,809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80,978</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106,642</w:t>
            </w:r>
          </w:p>
        </w:tc>
      </w:tr>
      <w:tr>
        <w:trPr>
          <w:trHeight w:val="156"/>
        </w:trPr>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59,675</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62,874</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153,632</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7,528</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283,709</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23"/>
        </w:trPr>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458"/>
        </w:trPr>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71"/>
        </w:trPr>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55"/>
        </w:trPr>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5"/>
        </w:trPr>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388"/>
              <w:spacing w:after="0"/>
              <w:rPr>
                <w:sz w:val="20"/>
                <w:szCs w:val="20"/>
                <w:color w:val="auto"/>
              </w:rPr>
            </w:pPr>
            <w:r>
              <w:rPr>
                <w:rFonts w:ascii="Arial" w:cs="Arial" w:eastAsia="Arial" w:hAnsi="Arial"/>
                <w:sz w:val="14"/>
                <w:szCs w:val="14"/>
                <w:b w:val="1"/>
                <w:bCs w:val="1"/>
                <w:color w:val="auto"/>
              </w:rPr>
              <w:t>Hain</w:t>
            </w:r>
          </w:p>
        </w:tc>
      </w:tr>
      <w:tr>
        <w:trPr>
          <w:trHeight w:val="171"/>
        </w:trPr>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9"/>
              </w:rPr>
              <w:t>Baby &amp; Kids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Beverages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Meal Prep</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Personal Care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Snacks</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rPr>
              <w:t>Consolidated</w:t>
            </w:r>
          </w:p>
        </w:tc>
      </w:tr>
      <w:tr>
        <w:trPr>
          <w:trHeight w:val="184"/>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162,515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200,609</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485,117</w:t>
            </w:r>
          </w:p>
        </w:tc>
        <w:tc>
          <w:tcPr>
            <w:tcW w:w="14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37,426</w:t>
            </w:r>
          </w:p>
        </w:tc>
        <w:tc>
          <w:tcPr>
            <w:tcW w:w="1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204,693</w:t>
            </w:r>
          </w:p>
        </w:tc>
        <w:tc>
          <w:tcPr>
            <w:tcW w:w="1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1,090,360</w:t>
            </w:r>
          </w:p>
        </w:tc>
      </w:tr>
      <w:tr>
        <w:trPr>
          <w:trHeight w:val="449"/>
        </w:trPr>
        <w:tc>
          <w:tcPr>
            <w:tcW w:w="1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8,716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37,426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183,611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229,749</w:t>
            </w:r>
          </w:p>
        </w:tc>
      </w:tr>
      <w:tr>
        <w:trPr>
          <w:trHeight w:val="171"/>
        </w:trPr>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3,464</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8,123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15,578</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1,008</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28,173</w:t>
            </w:r>
          </w:p>
        </w:tc>
      </w:tr>
      <w:tr>
        <w:trPr>
          <w:trHeight w:val="155"/>
        </w:trPr>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159,055</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192,486</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460,823</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20,074</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832,438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5"/>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182,225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189,364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499,311</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47,844</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277,688</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1,196,432</w:t>
            </w:r>
          </w:p>
        </w:tc>
      </w:tr>
      <w:tr>
        <w:trPr>
          <w:trHeight w:val="453"/>
        </w:trPr>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1,003</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29,663</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47,844</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256,188</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334,698</w:t>
            </w:r>
          </w:p>
        </w:tc>
      </w:tr>
      <w:tr>
        <w:trPr>
          <w:trHeight w:val="155"/>
        </w:trPr>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181,222</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189,364</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469,648</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21,500</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861,734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23"/>
        </w:trPr>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458"/>
        </w:trPr>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71"/>
        </w:trPr>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55"/>
        </w:trPr>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1084580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820" w:space="340"/>
            <w:col w:w="8080"/>
          </w:cols>
          <w:pgMar w:left="320" w:top="1426" w:right="339" w:bottom="1440" w:gutter="0" w:footer="0" w:header="0"/>
        </w:sectPr>
      </w:pPr>
    </w:p>
    <w:bookmarkStart w:id="18" w:name="page19"/>
    <w:bookmarkEnd w:id="18"/>
    <w:p>
      <w:pPr>
        <w:jc w:val="center"/>
        <w:ind w:right="12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Adjusted EBITDA</w:t>
      </w:r>
    </w:p>
    <w:p>
      <w:pPr>
        <w:jc w:val="center"/>
        <w:ind w:right="12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b w:val="1"/>
                <w:bCs w:val="1"/>
                <w:color w:val="auto"/>
              </w:rPr>
              <w:t>Third Quarter</w:t>
            </w: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7"/>
                <w:szCs w:val="17"/>
                <w:b w:val="1"/>
                <w:bCs w:val="1"/>
                <w:color w:val="auto"/>
              </w:rPr>
              <w:t>Third Quarter Year to Date</w:t>
            </w:r>
          </w:p>
        </w:tc>
      </w:tr>
      <w:tr>
        <w:trPr>
          <w:trHeight w:val="183"/>
        </w:trPr>
        <w:tc>
          <w:tcPr>
            <w:tcW w:w="3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5"/>
              <w:spacing w:after="0" w:line="183"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5"/>
              <w:spacing w:after="0" w:line="183" w:lineRule="exact"/>
              <w:rPr>
                <w:sz w:val="20"/>
                <w:szCs w:val="20"/>
                <w:color w:val="auto"/>
              </w:rPr>
            </w:pPr>
            <w:r>
              <w:rPr>
                <w:rFonts w:ascii="Arial" w:cs="Arial" w:eastAsia="Arial" w:hAnsi="Arial"/>
                <w:sz w:val="17"/>
                <w:szCs w:val="17"/>
                <w:b w:val="1"/>
                <w:bCs w:val="1"/>
                <w:color w:val="auto"/>
              </w:rPr>
              <w:t>2025</w:t>
            </w:r>
          </w:p>
        </w:tc>
      </w:tr>
      <w:tr>
        <w:trPr>
          <w:trHeight w:val="385"/>
        </w:trPr>
        <w:tc>
          <w:tcPr>
            <w:tcW w:w="3960" w:type="dxa"/>
            <w:vAlign w:val="bottom"/>
          </w:tcPr>
          <w:p>
            <w:pPr>
              <w:spacing w:after="0"/>
              <w:rPr>
                <w:sz w:val="20"/>
                <w:szCs w:val="20"/>
                <w:color w:val="auto"/>
              </w:rPr>
            </w:pPr>
            <w:r>
              <w:rPr>
                <w:rFonts w:ascii="Arial" w:cs="Arial" w:eastAsia="Arial" w:hAnsi="Arial"/>
                <w:sz w:val="17"/>
                <w:szCs w:val="17"/>
                <w:color w:val="auto"/>
              </w:rPr>
              <w:t>Net loss</w:t>
            </w:r>
          </w:p>
        </w:tc>
        <w:tc>
          <w:tcPr>
            <w:tcW w:w="340" w:type="dxa"/>
            <w:vAlign w:val="bottom"/>
            <w:gridSpan w:val="2"/>
          </w:tcPr>
          <w:p>
            <w:pPr>
              <w:jc w:val="right"/>
              <w:ind w:right="16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(106,343)</w:t>
            </w:r>
          </w:p>
        </w:tc>
        <w:tc>
          <w:tcPr>
            <w:tcW w:w="660" w:type="dxa"/>
            <w:vAlign w:val="bottom"/>
            <w:gridSpan w:val="2"/>
          </w:tcPr>
          <w:p>
            <w:pPr>
              <w:jc w:val="right"/>
              <w:ind w:right="34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(134,588)</w:t>
            </w:r>
          </w:p>
        </w:tc>
        <w:tc>
          <w:tcPr>
            <w:tcW w:w="5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(242,974)</w:t>
            </w:r>
          </w:p>
        </w:tc>
        <w:tc>
          <w:tcPr>
            <w:tcW w:w="5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(258,226)</w:t>
            </w:r>
          </w:p>
        </w:tc>
      </w:tr>
      <w:tr>
        <w:trPr>
          <w:trHeight w:val="342"/>
        </w:trPr>
        <w:tc>
          <w:tcPr>
            <w:tcW w:w="39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12,484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10,455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39,044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32,902</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Equity in net loss of equity-method investees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21</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966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327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1,709</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12,515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11,096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39,723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36,084</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Provision (benefit) for income taxes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759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(505)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1,889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5,746</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Stock-based compensation, net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1,138</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2,973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4,192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9,422</w:t>
            </w:r>
          </w:p>
        </w:tc>
      </w:tr>
      <w:tr>
        <w:trPr>
          <w:trHeight w:val="171"/>
        </w:trPr>
        <w:tc>
          <w:tcPr>
            <w:tcW w:w="3960" w:type="dxa"/>
            <w:vAlign w:val="bottom"/>
          </w:tcPr>
          <w:p>
            <w:pPr>
              <w:spacing w:after="0" w:line="171" w:lineRule="exact"/>
              <w:rPr>
                <w:sz w:val="20"/>
                <w:szCs w:val="20"/>
                <w:color w:val="auto"/>
              </w:rPr>
            </w:pPr>
            <w:r>
              <w:rPr>
                <w:rFonts w:ascii="Arial" w:cs="Arial" w:eastAsia="Arial" w:hAnsi="Arial"/>
                <w:sz w:val="17"/>
                <w:szCs w:val="17"/>
                <w:color w:val="auto"/>
              </w:rPr>
              <w:t>Unrealized currency losses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35"/>
              <w:spacing w:after="0" w:line="171" w:lineRule="exact"/>
              <w:rPr>
                <w:sz w:val="20"/>
                <w:szCs w:val="20"/>
                <w:color w:val="auto"/>
              </w:rPr>
            </w:pPr>
            <w:r>
              <w:rPr>
                <w:rFonts w:ascii="Arial" w:cs="Arial" w:eastAsia="Arial" w:hAnsi="Arial"/>
                <w:sz w:val="17"/>
                <w:szCs w:val="17"/>
                <w:color w:val="auto"/>
              </w:rPr>
              <w:t>219</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35"/>
              <w:spacing w:after="0" w:line="171" w:lineRule="exact"/>
              <w:rPr>
                <w:sz w:val="20"/>
                <w:szCs w:val="20"/>
                <w:color w:val="auto"/>
              </w:rPr>
            </w:pPr>
            <w:r>
              <w:rPr>
                <w:rFonts w:ascii="Arial" w:cs="Arial" w:eastAsia="Arial" w:hAnsi="Arial"/>
                <w:sz w:val="17"/>
                <w:szCs w:val="17"/>
                <w:color w:val="auto"/>
              </w:rPr>
              <w:t>1,137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35"/>
              <w:spacing w:after="0" w:line="171" w:lineRule="exact"/>
              <w:rPr>
                <w:sz w:val="20"/>
                <w:szCs w:val="20"/>
                <w:color w:val="auto"/>
              </w:rPr>
            </w:pPr>
            <w:r>
              <w:rPr>
                <w:rFonts w:ascii="Arial" w:cs="Arial" w:eastAsia="Arial" w:hAnsi="Arial"/>
                <w:sz w:val="17"/>
                <w:szCs w:val="17"/>
                <w:color w:val="auto"/>
              </w:rPr>
              <w:t>623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35"/>
              <w:spacing w:after="0" w:line="171" w:lineRule="exact"/>
              <w:rPr>
                <w:sz w:val="20"/>
                <w:szCs w:val="20"/>
                <w:color w:val="auto"/>
              </w:rPr>
            </w:pPr>
            <w:r>
              <w:rPr>
                <w:rFonts w:ascii="Arial" w:cs="Arial" w:eastAsia="Arial" w:hAnsi="Arial"/>
                <w:sz w:val="17"/>
                <w:szCs w:val="17"/>
                <w:color w:val="auto"/>
              </w:rPr>
              <w:t>707</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6"/>
                <w:szCs w:val="16"/>
                <w:color w:val="auto"/>
              </w:rPr>
              <w:t>Certain litigation expenses, net</w:t>
            </w:r>
            <w:r>
              <w:rPr>
                <w:rFonts w:ascii="Arial" w:cs="Arial" w:eastAsia="Arial" w:hAnsi="Arial"/>
                <w:sz w:val="21"/>
                <w:szCs w:val="21"/>
                <w:color w:val="auto"/>
                <w:vertAlign w:val="superscript"/>
              </w:rPr>
              <w:t>(a)</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2,519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407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3,164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2,254</w:t>
            </w:r>
          </w:p>
        </w:tc>
      </w:tr>
      <w:tr>
        <w:trPr>
          <w:trHeight w:val="207"/>
        </w:trPr>
        <w:tc>
          <w:tcPr>
            <w:tcW w:w="3960" w:type="dxa"/>
            <w:vAlign w:val="bottom"/>
          </w:tcPr>
          <w:p>
            <w:pPr>
              <w:spacing w:after="0" w:line="207" w:lineRule="exact"/>
              <w:rPr>
                <w:sz w:val="20"/>
                <w:szCs w:val="20"/>
                <w:color w:val="auto"/>
              </w:rPr>
            </w:pPr>
            <w:r>
              <w:rPr>
                <w:rFonts w:ascii="Arial" w:cs="Arial" w:eastAsia="Arial" w:hAnsi="Arial"/>
                <w:sz w:val="17"/>
                <w:szCs w:val="17"/>
                <w:color w:val="auto"/>
              </w:rPr>
              <w:t>Proceeds from insurance claim</w:t>
            </w:r>
            <w:r>
              <w:rPr>
                <w:rFonts w:ascii="Arial" w:cs="Arial" w:eastAsia="Arial" w:hAnsi="Arial"/>
                <w:sz w:val="22"/>
                <w:szCs w:val="22"/>
                <w:color w:val="auto"/>
                <w:vertAlign w:val="superscript"/>
              </w:rPr>
              <w:t>(b)</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(25,900)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Restructuring activities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960" w:type="dxa"/>
            <w:vAlign w:val="bottom"/>
          </w:tcPr>
          <w:p>
            <w:pPr>
              <w:ind w:left="60"/>
              <w:spacing w:after="0" w:line="189" w:lineRule="exact"/>
              <w:rPr>
                <w:sz w:val="20"/>
                <w:szCs w:val="20"/>
                <w:color w:val="auto"/>
              </w:rPr>
            </w:pPr>
            <w:r>
              <w:rPr>
                <w:rFonts w:ascii="Arial" w:cs="Arial" w:eastAsia="Arial" w:hAnsi="Arial"/>
                <w:sz w:val="17"/>
                <w:szCs w:val="17"/>
                <w:color w:val="auto"/>
              </w:rPr>
              <w:t>Productivity and transformation costs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4,066</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7,289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17,519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16,497</w:t>
            </w:r>
          </w:p>
        </w:tc>
      </w:tr>
      <w:tr>
        <w:trPr>
          <w:trHeight w:val="189"/>
        </w:trPr>
        <w:tc>
          <w:tcPr>
            <w:tcW w:w="3960" w:type="dxa"/>
            <w:vAlign w:val="bottom"/>
          </w:tcPr>
          <w:p>
            <w:pPr>
              <w:ind w:left="60"/>
              <w:spacing w:after="0" w:line="189" w:lineRule="exact"/>
              <w:rPr>
                <w:sz w:val="20"/>
                <w:szCs w:val="20"/>
                <w:color w:val="auto"/>
              </w:rPr>
            </w:pPr>
            <w:r>
              <w:rPr>
                <w:rFonts w:ascii="Arial" w:cs="Arial" w:eastAsia="Arial" w:hAnsi="Arial"/>
                <w:sz w:val="17"/>
                <w:szCs w:val="17"/>
                <w:color w:val="auto"/>
              </w:rPr>
              <w:t>Plant closure related costs, net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727</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1,533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1,229</w:t>
            </w:r>
          </w:p>
        </w:tc>
      </w:tr>
      <w:tr>
        <w:trPr>
          <w:trHeight w:val="189"/>
        </w:trPr>
        <w:tc>
          <w:tcPr>
            <w:tcW w:w="3960" w:type="dxa"/>
            <w:vAlign w:val="bottom"/>
          </w:tcPr>
          <w:p>
            <w:pPr>
              <w:ind w:left="60"/>
              <w:spacing w:after="0" w:line="189" w:lineRule="exact"/>
              <w:rPr>
                <w:sz w:val="20"/>
                <w:szCs w:val="20"/>
                <w:color w:val="auto"/>
              </w:rPr>
            </w:pPr>
            <w:r>
              <w:rPr>
                <w:rFonts w:ascii="Arial" w:cs="Arial" w:eastAsia="Arial" w:hAnsi="Arial"/>
                <w:sz w:val="17"/>
                <w:szCs w:val="17"/>
                <w:color w:val="auto"/>
              </w:rPr>
              <w:t>Warehouse/manufacturing consolidation and other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960" w:type="dxa"/>
            <w:vAlign w:val="bottom"/>
          </w:tcPr>
          <w:p>
            <w:pPr>
              <w:ind w:left="60"/>
              <w:spacing w:after="0" w:line="189" w:lineRule="exact"/>
              <w:rPr>
                <w:sz w:val="20"/>
                <w:szCs w:val="20"/>
                <w:color w:val="auto"/>
              </w:rPr>
            </w:pPr>
            <w:r>
              <w:rPr>
                <w:rFonts w:ascii="Arial" w:cs="Arial" w:eastAsia="Arial" w:hAnsi="Arial"/>
                <w:sz w:val="17"/>
                <w:szCs w:val="17"/>
                <w:color w:val="auto"/>
              </w:rPr>
              <w:t>costs, net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384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384</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Acquisitions, divestitures and other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960" w:type="dxa"/>
            <w:vAlign w:val="bottom"/>
          </w:tcPr>
          <w:p>
            <w:pPr>
              <w:ind w:left="60"/>
              <w:spacing w:after="0" w:line="189" w:lineRule="exact"/>
              <w:rPr>
                <w:sz w:val="20"/>
                <w:szCs w:val="20"/>
                <w:color w:val="auto"/>
              </w:rPr>
            </w:pPr>
            <w:r>
              <w:rPr>
                <w:rFonts w:ascii="Arial" w:cs="Arial" w:eastAsia="Arial" w:hAnsi="Arial"/>
                <w:sz w:val="17"/>
                <w:szCs w:val="17"/>
                <w:color w:val="auto"/>
              </w:rPr>
              <w:t>Loss (gain) on sale of assets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50,529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(106)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48,501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2,202</w:t>
            </w:r>
          </w:p>
        </w:tc>
      </w:tr>
      <w:tr>
        <w:trPr>
          <w:trHeight w:val="189"/>
        </w:trPr>
        <w:tc>
          <w:tcPr>
            <w:tcW w:w="3960" w:type="dxa"/>
            <w:vAlign w:val="bottom"/>
          </w:tcPr>
          <w:p>
            <w:pPr>
              <w:ind w:left="60"/>
              <w:spacing w:after="0" w:line="189" w:lineRule="exact"/>
              <w:rPr>
                <w:sz w:val="20"/>
                <w:szCs w:val="20"/>
                <w:color w:val="auto"/>
              </w:rPr>
            </w:pPr>
            <w:r>
              <w:rPr>
                <w:rFonts w:ascii="Arial" w:cs="Arial" w:eastAsia="Arial" w:hAnsi="Arial"/>
                <w:sz w:val="17"/>
                <w:szCs w:val="17"/>
                <w:color w:val="auto"/>
              </w:rPr>
              <w:t>Transaction and integration costs, net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1,553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(151)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4,735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(574)</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Impairment charges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Goodwill impairment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31,018</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110,251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150,926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201,518</w:t>
            </w:r>
          </w:p>
        </w:tc>
      </w:tr>
      <w:tr>
        <w:trPr>
          <w:trHeight w:val="211"/>
        </w:trPr>
        <w:tc>
          <w:tcPr>
            <w:tcW w:w="3960" w:type="dxa"/>
            <w:vAlign w:val="bottom"/>
          </w:tcPr>
          <w:p>
            <w:pPr>
              <w:ind w:left="60"/>
              <w:spacing w:after="0"/>
              <w:rPr>
                <w:sz w:val="20"/>
                <w:szCs w:val="20"/>
                <w:color w:val="auto"/>
              </w:rPr>
            </w:pPr>
            <w:r>
              <w:rPr>
                <w:rFonts w:ascii="Arial" w:cs="Arial" w:eastAsia="Arial" w:hAnsi="Arial"/>
                <w:sz w:val="17"/>
                <w:szCs w:val="17"/>
                <w:color w:val="auto"/>
              </w:rPr>
              <w:t>Long-lived asset and intangibles impairment</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15,047</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24,012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26,964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42,029</w:t>
            </w:r>
          </w:p>
        </w:tc>
      </w:tr>
      <w:tr>
        <w:trPr>
          <w:trHeight w:val="183"/>
        </w:trPr>
        <w:tc>
          <w:tcPr>
            <w:tcW w:w="3960" w:type="dxa"/>
            <w:vAlign w:val="bottom"/>
          </w:tcPr>
          <w:p>
            <w:pPr>
              <w:spacing w:after="0" w:line="169" w:lineRule="exact"/>
              <w:rPr>
                <w:sz w:val="20"/>
                <w:szCs w:val="20"/>
                <w:color w:val="auto"/>
              </w:rPr>
            </w:pPr>
            <w:r>
              <w:rPr>
                <w:rFonts w:ascii="Arial" w:cs="Arial" w:eastAsia="Arial" w:hAnsi="Arial"/>
                <w:sz w:val="17"/>
                <w:szCs w:val="17"/>
                <w:color w:val="auto"/>
              </w:rPr>
              <w:t>Adjusted EBITDA</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26,252</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ind w:right="345"/>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33,615</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70,266</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93,883</w:t>
            </w: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Expenses and items relating to securities class action, baby food litigation and SEC investigation.</w:t>
      </w:r>
    </w:p>
    <w:p>
      <w:pPr>
        <w:ind w:right="120" w:firstLine="8"/>
        <w:spacing w:after="0" w:line="218" w:lineRule="auto"/>
        <w:tabs>
          <w:tab w:leader="none" w:pos="188"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Represents a receivable under the Company's representation and warranty insurance related to one of its prior acquisitions, which was collected on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2859405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center"/>
        <w:ind w:right="12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Free Cash Flow</w:t>
      </w:r>
    </w:p>
    <w:p>
      <w:pPr>
        <w:jc w:val="center"/>
        <w:ind w:right="12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Third Quarter</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7"/>
                <w:szCs w:val="17"/>
                <w:b w:val="1"/>
                <w:bCs w:val="1"/>
                <w:color w:val="auto"/>
              </w:rPr>
              <w:t>Third Quarter Year to Date</w:t>
            </w:r>
          </w:p>
        </w:tc>
      </w:tr>
      <w:tr>
        <w:trPr>
          <w:trHeight w:val="183"/>
        </w:trPr>
        <w:tc>
          <w:tcPr>
            <w:tcW w:w="424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2026</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2025</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5"/>
              <w:spacing w:after="0" w:line="183" w:lineRule="exact"/>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5"/>
              <w:spacing w:after="0" w:line="183" w:lineRule="exact"/>
              <w:rPr>
                <w:sz w:val="20"/>
                <w:szCs w:val="20"/>
                <w:color w:val="auto"/>
              </w:rPr>
            </w:pPr>
            <w:r>
              <w:rPr>
                <w:rFonts w:ascii="Arial" w:cs="Arial" w:eastAsia="Arial" w:hAnsi="Arial"/>
                <w:sz w:val="17"/>
                <w:szCs w:val="17"/>
                <w:b w:val="1"/>
                <w:bCs w:val="1"/>
                <w:color w:val="auto"/>
              </w:rPr>
              <w:t>2025</w:t>
            </w:r>
          </w:p>
        </w:tc>
      </w:tr>
      <w:tr>
        <w:trPr>
          <w:trHeight w:val="349"/>
        </w:trPr>
        <w:tc>
          <w:tcPr>
            <w:tcW w:w="42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960" w:type="dxa"/>
            <w:vAlign w:val="bottom"/>
          </w:tcPr>
          <w:p>
            <w:pPr>
              <w:jc w:val="right"/>
              <w:ind w:right="77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w w:val="99"/>
              </w:rPr>
              <w:t>38,338</w:t>
            </w:r>
          </w:p>
        </w:tc>
        <w:tc>
          <w:tcPr>
            <w:tcW w:w="1140" w:type="dxa"/>
            <w:vAlign w:val="bottom"/>
            <w:gridSpan w:val="2"/>
          </w:tcPr>
          <w:p>
            <w:pPr>
              <w:jc w:val="right"/>
              <w:ind w:right="79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4,645</w:t>
            </w:r>
          </w:p>
        </w:tc>
        <w:tc>
          <w:tcPr>
            <w:tcW w:w="50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66,826</w:t>
            </w:r>
          </w:p>
        </w:tc>
        <w:tc>
          <w:tcPr>
            <w:tcW w:w="5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24,763</w:t>
            </w:r>
          </w:p>
        </w:tc>
      </w:tr>
      <w:tr>
        <w:trPr>
          <w:trHeight w:val="211"/>
        </w:trPr>
        <w:tc>
          <w:tcPr>
            <w:tcW w:w="4240" w:type="dxa"/>
            <w:vAlign w:val="bottom"/>
          </w:tcPr>
          <w:p>
            <w:pPr>
              <w:ind w:left="60"/>
              <w:spacing w:after="0"/>
              <w:rPr>
                <w:sz w:val="20"/>
                <w:szCs w:val="20"/>
                <w:color w:val="auto"/>
              </w:rPr>
            </w:pPr>
            <w:r>
              <w:rPr>
                <w:rFonts w:ascii="Arial" w:cs="Arial" w:eastAsia="Arial" w:hAnsi="Arial"/>
                <w:sz w:val="17"/>
                <w:szCs w:val="17"/>
                <w:color w:val="auto"/>
              </w:rPr>
              <w:t>Purchases of property, plant and equipment</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(3,789)</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(19,060)</w:t>
            </w:r>
          </w:p>
        </w:tc>
      </w:tr>
      <w:tr>
        <w:trPr>
          <w:trHeight w:val="183"/>
        </w:trPr>
        <w:tc>
          <w:tcPr>
            <w:tcW w:w="4240" w:type="dxa"/>
            <w:vAlign w:val="bottom"/>
          </w:tcPr>
          <w:p>
            <w:pPr>
              <w:spacing w:after="0" w:line="169" w:lineRule="exact"/>
              <w:rPr>
                <w:sz w:val="20"/>
                <w:szCs w:val="20"/>
                <w:color w:val="auto"/>
              </w:rPr>
            </w:pPr>
            <w:r>
              <w:rPr>
                <w:rFonts w:ascii="Arial" w:cs="Arial" w:eastAsia="Arial" w:hAnsi="Arial"/>
                <w:sz w:val="17"/>
                <w:szCs w:val="17"/>
                <w:color w:val="auto"/>
              </w:rPr>
              <w:t>Free cash flow</w:t>
            </w:r>
          </w:p>
        </w:tc>
        <w:tc>
          <w:tcPr>
            <w:tcW w:w="960" w:type="dxa"/>
            <w:vAlign w:val="bottom"/>
            <w:tcBorders>
              <w:bottom w:val="single" w:sz="8" w:color="auto"/>
            </w:tcBorders>
          </w:tcPr>
          <w:p>
            <w:pPr>
              <w:jc w:val="right"/>
              <w:ind w:right="775"/>
              <w:spacing w:after="0" w:line="169"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w w:val="99"/>
              </w:rPr>
              <w:t>34,549</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ind w:right="795"/>
              <w:spacing w:after="0" w:line="169"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(2,276)</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50,822</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5"/>
              <w:spacing w:after="0" w:line="169"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55"/>
              <w:spacing w:after="0" w:line="169" w:lineRule="exact"/>
              <w:rPr>
                <w:sz w:val="20"/>
                <w:szCs w:val="20"/>
                <w:color w:val="auto"/>
              </w:rPr>
            </w:pPr>
            <w:r>
              <w:rPr>
                <w:rFonts w:ascii="Arial" w:cs="Arial" w:eastAsia="Arial" w:hAnsi="Arial"/>
                <w:sz w:val="17"/>
                <w:szCs w:val="17"/>
                <w:color w:val="auto"/>
              </w:rPr>
              <w:t>5,703</w:t>
            </w: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Debt</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Current portion of long-term debt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Long-term debt, less current portion</w:t>
      </w:r>
    </w:p>
    <w:p>
      <w:pPr>
        <w:spacing w:after="0"/>
        <w:rPr>
          <w:sz w:val="20"/>
          <w:szCs w:val="20"/>
          <w:color w:val="auto"/>
        </w:rPr>
      </w:pPr>
      <w:r>
        <w:rPr>
          <w:rFonts w:ascii="Arial" w:cs="Arial" w:eastAsia="Arial" w:hAnsi="Arial"/>
          <w:sz w:val="17"/>
          <w:szCs w:val="17"/>
          <w:color w:val="auto"/>
        </w:rPr>
        <w:t>Total debt</w:t>
      </w:r>
    </w:p>
    <w:p>
      <w:pPr>
        <w:spacing w:after="0" w:line="7" w:lineRule="exact"/>
        <w:rPr>
          <w:sz w:val="20"/>
          <w:szCs w:val="20"/>
          <w:color w:val="auto"/>
        </w:rPr>
      </w:pPr>
    </w:p>
    <w:p>
      <w:pPr>
        <w:ind w:right="200" w:firstLine="70"/>
        <w:spacing w:after="0" w:line="297" w:lineRule="auto"/>
        <w:rPr>
          <w:sz w:val="20"/>
          <w:szCs w:val="20"/>
          <w:color w:val="auto"/>
        </w:rPr>
      </w:pPr>
      <w:r>
        <w:rPr>
          <w:rFonts w:ascii="Arial" w:cs="Arial" w:eastAsia="Arial" w:hAnsi="Arial"/>
          <w:sz w:val="17"/>
          <w:szCs w:val="17"/>
          <w:color w:val="auto"/>
        </w:rPr>
        <w:t>Less: Cash and cash equivalents Net debt</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7"/>
          <w:szCs w:val="17"/>
          <w:b w:val="1"/>
          <w:bCs w:val="1"/>
          <w:color w:val="auto"/>
        </w:rPr>
        <w:t>THE HAIN CELESTIAL GROUP, INC. AND SUBSIDIARIES</w:t>
      </w:r>
    </w:p>
    <w:p>
      <w:pPr>
        <w:spacing w:after="0" w:line="3"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Net Debt</w:t>
      </w:r>
    </w:p>
    <w:p>
      <w:pPr>
        <w:jc w:val="center"/>
        <w:ind w:right="3380"/>
        <w:spacing w:after="0"/>
        <w:rPr>
          <w:sz w:val="20"/>
          <w:szCs w:val="20"/>
          <w:color w:val="auto"/>
        </w:rPr>
      </w:pPr>
      <w:r>
        <w:rPr>
          <w:rFonts w:ascii="Arial" w:cs="Arial" w:eastAsia="Arial" w:hAnsi="Arial"/>
          <w:sz w:val="17"/>
          <w:szCs w:val="17"/>
          <w:color w:val="auto"/>
        </w:rPr>
        <w:t>(unaudited and in thousands)</w:t>
      </w:r>
    </w:p>
    <w:p>
      <w:pPr>
        <w:spacing w:after="0" w:line="167" w:lineRule="exact"/>
        <w:rPr>
          <w:sz w:val="20"/>
          <w:szCs w:val="20"/>
          <w:color w:val="auto"/>
        </w:rPr>
      </w:pPr>
    </w:p>
    <w:tbl>
      <w:tblPr>
        <w:tblLayout w:type="fixed"/>
        <w:tblInd w:w="2140" w:type="dxa"/>
        <w:tblCellMar>
          <w:top w:w="0" w:type="dxa"/>
          <w:left w:w="0" w:type="dxa"/>
          <w:bottom w:w="0" w:type="dxa"/>
          <w:right w:w="0" w:type="dxa"/>
        </w:tblCellMar>
      </w:tblPr>
      <w:tr>
        <w:trPr>
          <w:trHeight w:val="211"/>
        </w:trPr>
        <w:tc>
          <w:tcPr>
            <w:tcW w:w="4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March 31, 2026</w:t>
            </w:r>
          </w:p>
        </w:tc>
        <w:tc>
          <w:tcPr>
            <w:tcW w:w="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June 30, 2025</w:t>
            </w:r>
          </w:p>
        </w:tc>
      </w:tr>
      <w:tr>
        <w:trPr>
          <w:trHeight w:val="349"/>
        </w:trPr>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2340" w:type="dxa"/>
            <w:vAlign w:val="bottom"/>
          </w:tcPr>
          <w:p>
            <w:pPr>
              <w:jc w:val="right"/>
              <w:ind w:right="35"/>
              <w:spacing w:after="0"/>
              <w:rPr>
                <w:sz w:val="20"/>
                <w:szCs w:val="20"/>
                <w:color w:val="auto"/>
              </w:rPr>
            </w:pPr>
            <w:r>
              <w:rPr>
                <w:rFonts w:ascii="Arial" w:cs="Arial" w:eastAsia="Arial" w:hAnsi="Arial"/>
                <w:sz w:val="17"/>
                <w:szCs w:val="17"/>
                <w:color w:val="auto"/>
              </w:rPr>
              <w:t>549,184</w:t>
            </w:r>
          </w:p>
        </w:tc>
        <w:tc>
          <w:tcPr>
            <w:tcW w:w="78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2320" w:type="dxa"/>
            <w:vAlign w:val="bottom"/>
          </w:tcPr>
          <w:p>
            <w:pPr>
              <w:jc w:val="right"/>
              <w:ind w:right="55"/>
              <w:spacing w:after="0"/>
              <w:rPr>
                <w:sz w:val="20"/>
                <w:szCs w:val="20"/>
                <w:color w:val="auto"/>
              </w:rPr>
            </w:pPr>
            <w:r>
              <w:rPr>
                <w:rFonts w:ascii="Arial" w:cs="Arial" w:eastAsia="Arial" w:hAnsi="Arial"/>
                <w:sz w:val="17"/>
                <w:szCs w:val="17"/>
                <w:color w:val="auto"/>
              </w:rPr>
              <w:t>7,653</w:t>
            </w:r>
          </w:p>
        </w:tc>
      </w:tr>
      <w:tr>
        <w:trPr>
          <w:trHeight w:val="211"/>
        </w:trPr>
        <w:tc>
          <w:tcPr>
            <w:tcW w:w="4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312</w:t>
            </w:r>
          </w:p>
        </w:tc>
        <w:tc>
          <w:tcPr>
            <w:tcW w:w="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697,168</w:t>
            </w:r>
          </w:p>
        </w:tc>
      </w:tr>
      <w:tr>
        <w:trPr>
          <w:trHeight w:val="160"/>
        </w:trPr>
        <w:tc>
          <w:tcPr>
            <w:tcW w:w="400" w:type="dxa"/>
            <w:vAlign w:val="bottom"/>
          </w:tcPr>
          <w:p>
            <w:pPr>
              <w:spacing w:after="0"/>
              <w:rPr>
                <w:sz w:val="13"/>
                <w:szCs w:val="13"/>
                <w:color w:val="auto"/>
              </w:rPr>
            </w:pPr>
          </w:p>
        </w:tc>
        <w:tc>
          <w:tcPr>
            <w:tcW w:w="2340" w:type="dxa"/>
            <w:vAlign w:val="bottom"/>
          </w:tcPr>
          <w:p>
            <w:pPr>
              <w:jc w:val="right"/>
              <w:ind w:right="35"/>
              <w:spacing w:after="0" w:line="160" w:lineRule="exact"/>
              <w:rPr>
                <w:sz w:val="20"/>
                <w:szCs w:val="20"/>
                <w:color w:val="auto"/>
              </w:rPr>
            </w:pPr>
            <w:r>
              <w:rPr>
                <w:rFonts w:ascii="Arial" w:cs="Arial" w:eastAsia="Arial" w:hAnsi="Arial"/>
                <w:sz w:val="17"/>
                <w:szCs w:val="17"/>
                <w:color w:val="auto"/>
              </w:rPr>
              <w:t>549,496</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20" w:type="dxa"/>
            <w:vAlign w:val="bottom"/>
          </w:tcPr>
          <w:p>
            <w:pPr>
              <w:jc w:val="right"/>
              <w:ind w:right="55"/>
              <w:spacing w:after="0" w:line="160" w:lineRule="exact"/>
              <w:rPr>
                <w:sz w:val="20"/>
                <w:szCs w:val="20"/>
                <w:color w:val="auto"/>
              </w:rPr>
            </w:pPr>
            <w:r>
              <w:rPr>
                <w:rFonts w:ascii="Arial" w:cs="Arial" w:eastAsia="Arial" w:hAnsi="Arial"/>
                <w:sz w:val="17"/>
                <w:szCs w:val="17"/>
                <w:color w:val="auto"/>
              </w:rPr>
              <w:t>704,821</w:t>
            </w:r>
          </w:p>
        </w:tc>
      </w:tr>
      <w:tr>
        <w:trPr>
          <w:trHeight w:val="211"/>
        </w:trPr>
        <w:tc>
          <w:tcPr>
            <w:tcW w:w="4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44,311</w:t>
            </w:r>
          </w:p>
        </w:tc>
        <w:tc>
          <w:tcPr>
            <w:tcW w:w="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54,355</w:t>
            </w:r>
          </w:p>
        </w:tc>
      </w:tr>
      <w:tr>
        <w:trPr>
          <w:trHeight w:val="183"/>
        </w:trPr>
        <w:tc>
          <w:tcPr>
            <w:tcW w:w="40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w w:val="84"/>
              </w:rPr>
              <w:t>$</w:t>
            </w:r>
          </w:p>
        </w:tc>
        <w:tc>
          <w:tcPr>
            <w:tcW w:w="23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505,185</w:t>
            </w:r>
          </w:p>
        </w:tc>
        <w:tc>
          <w:tcPr>
            <w:tcW w:w="340" w:type="dxa"/>
            <w:vAlign w:val="bottom"/>
          </w:tcPr>
          <w:p>
            <w:pPr>
              <w:spacing w:after="0"/>
              <w:rPr>
                <w:sz w:val="15"/>
                <w:szCs w:val="15"/>
                <w:color w:val="auto"/>
              </w:rPr>
            </w:pPr>
          </w:p>
        </w:tc>
        <w:tc>
          <w:tcPr>
            <w:tcW w:w="440" w:type="dxa"/>
            <w:vAlign w:val="bottom"/>
            <w:tcBorders>
              <w:bottom w:val="single" w:sz="8" w:color="auto"/>
            </w:tcBorders>
          </w:tcPr>
          <w:p>
            <w:pPr>
              <w:jc w:val="right"/>
              <w:ind w:right="255"/>
              <w:spacing w:after="0" w:line="183" w:lineRule="exact"/>
              <w:rPr>
                <w:sz w:val="20"/>
                <w:szCs w:val="20"/>
                <w:color w:val="auto"/>
              </w:rPr>
            </w:pPr>
            <w:r>
              <w:rPr>
                <w:rFonts w:ascii="Arial" w:cs="Arial" w:eastAsia="Arial" w:hAnsi="Arial"/>
                <w:sz w:val="17"/>
                <w:szCs w:val="17"/>
                <w:color w:val="auto"/>
                <w:w w:val="84"/>
              </w:rPr>
              <w:t>$</w:t>
            </w:r>
          </w:p>
        </w:tc>
        <w:tc>
          <w:tcPr>
            <w:tcW w:w="2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650,466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1084580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480"/>
            <w:col w:w="7980"/>
          </w:cols>
          <w:pgMar w:left="320" w:top="1413"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2026-05-11T06:09:49Z</dcterms:created>
  <dcterms:modified xsi:type="dcterms:W3CDTF">2026-05-11T06:09:49Z</dcterms:modified>
</cp:coreProperties>
</file>